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61CED">
      <w:pPr>
        <w:pStyle w:val="2"/>
        <w:keepNext w:val="0"/>
        <w:keepLines w:val="0"/>
        <w:widowControl/>
        <w:suppressLineNumbers w:val="0"/>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PROPOSED EXTENSION PROGRAM</w:t>
      </w:r>
    </w:p>
    <w:p w14:paraId="4FBA29AE">
      <w:pPr>
        <w:pStyle w:val="3"/>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1. PROGRAM TITLE</w:t>
      </w:r>
    </w:p>
    <w:p w14:paraId="4DDB2654">
      <w:pPr>
        <w:pStyle w:val="4"/>
        <w:keepNext w:val="0"/>
        <w:keepLines w:val="0"/>
        <w:widowControl/>
        <w:suppressLineNumbers w:val="0"/>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b/>
          <w:bCs/>
          <w:sz w:val="24"/>
          <w:szCs w:val="24"/>
          <w:lang w:val="en-US"/>
        </w:rPr>
        <w:t>“</w:t>
      </w:r>
      <w:r>
        <w:rPr>
          <w:rFonts w:hint="default" w:ascii="Times New Roman Regular" w:hAnsi="Times New Roman Regular" w:cs="Times New Roman Regular"/>
          <w:b/>
          <w:bCs/>
          <w:sz w:val="24"/>
          <w:szCs w:val="24"/>
        </w:rPr>
        <w:t xml:space="preserve">NARS CARE: </w:t>
      </w:r>
      <w:r>
        <w:rPr>
          <w:rFonts w:hint="default" w:ascii="Times New Roman Regular" w:hAnsi="Times New Roman Regular" w:cs="Times New Roman Regular"/>
          <w:b/>
          <w:bCs/>
        </w:rPr>
        <w:t>NURTURE-COM</w:t>
      </w:r>
      <w:r>
        <w:rPr>
          <w:rFonts w:hint="default" w:ascii="Times New Roman Regular" w:hAnsi="Times New Roman Regular" w:cs="Times New Roman Regular"/>
          <w:b/>
          <w:bCs/>
          <w:sz w:val="24"/>
          <w:szCs w:val="24"/>
          <w:lang w:val="en-US"/>
        </w:rPr>
        <w:t>”</w:t>
      </w:r>
    </w:p>
    <w:p w14:paraId="5DC9D495">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Nursing Students’ Community Engagement, Health Promotion, and Professional Identity Formation Program</w:t>
      </w:r>
    </w:p>
    <w:p w14:paraId="1F1FEE51">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i/>
          <w:iCs/>
        </w:rPr>
      </w:pPr>
      <w:r>
        <w:rPr>
          <w:rFonts w:hint="default" w:ascii="Times New Roman Regular" w:hAnsi="Times New Roman Regular" w:cs="Times New Roman Regular"/>
          <w:b/>
          <w:bCs/>
        </w:rPr>
        <w:t>Tagline:</w:t>
      </w:r>
      <w:r>
        <w:rPr>
          <w:rFonts w:hint="default" w:ascii="Times New Roman Regular" w:hAnsi="Times New Roman Regular" w:cs="Times New Roman Regular"/>
        </w:rPr>
        <w:br w:type="textWrapping"/>
      </w:r>
      <w:r>
        <w:rPr>
          <w:rFonts w:hint="default" w:ascii="Times New Roman Regular" w:hAnsi="Times New Roman Regular" w:cs="Times New Roman Regular"/>
          <w:i/>
          <w:iCs/>
        </w:rPr>
        <w:t>“Learning with the Community, Caring for the Community.”</w:t>
      </w:r>
    </w:p>
    <w:p w14:paraId="6964BC61">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i/>
          <w:iCs/>
        </w:rPr>
      </w:pPr>
      <w:r>
        <w:rPr>
          <w:rFonts w:hint="default" w:ascii="Times New Roman Regular" w:hAnsi="Times New Roman Regular" w:cs="Times New Roman Regular"/>
        </w:rPr>
        <w:t>The program will provide nursing students with structured opportunities to engage with individuals, families, and communities through health education, health promotion, basic health assessment, disease prevention, and community-based activities</w:t>
      </w:r>
    </w:p>
    <w:p w14:paraId="2CA2BCE6">
      <w:pPr>
        <w:pStyle w:val="3"/>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2. IMPLEMENTER</w:t>
      </w:r>
    </w:p>
    <w:tbl>
      <w:tblPr>
        <w:tblW w:w="5000" w:type="pct"/>
        <w:tblInd w:w="0" w:type="dxa"/>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shd w:val="clear"/>
        <w:tblLayout w:type="fixed"/>
        <w:tblCellMar>
          <w:top w:w="120" w:type="dxa"/>
          <w:left w:w="120" w:type="dxa"/>
          <w:bottom w:w="120" w:type="dxa"/>
          <w:right w:w="120" w:type="dxa"/>
        </w:tblCellMar>
      </w:tblPr>
      <w:tblGrid>
        <w:gridCol w:w="3815"/>
        <w:gridCol w:w="5185"/>
      </w:tblGrid>
      <w:tr w14:paraId="005ADF5A">
        <w:trPr>
          <w:tblHeader/>
        </w:trPr>
        <w:tc>
          <w:tcPr>
            <w:tcW w:w="2119" w:type="pct"/>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6703E0C">
            <w:pPr>
              <w:pStyle w:val="8"/>
              <w:keepNext w:val="0"/>
              <w:keepLines w:val="0"/>
              <w:widowControl/>
              <w:suppressLineNumbers w:val="0"/>
              <w:spacing w:before="0" w:beforeAutospacing="1" w:after="0" w:afterAutospacing="1"/>
              <w:ind w:left="0" w:right="0"/>
              <w:jc w:val="center"/>
              <w:rPr>
                <w:rFonts w:hint="default" w:ascii="Times New Roman Regular" w:hAnsi="Times New Roman Regular" w:cs="Times New Roman Regular"/>
              </w:rPr>
            </w:pPr>
            <w:r>
              <w:rPr>
                <w:rFonts w:hint="default" w:ascii="Times New Roman Regular" w:hAnsi="Times New Roman Regular" w:cs="Times New Roman Regular"/>
                <w:b/>
                <w:bCs/>
              </w:rPr>
              <w:t>Implementer</w:t>
            </w:r>
          </w:p>
        </w:tc>
        <w:tc>
          <w:tcPr>
            <w:tcW w:w="2880" w:type="pct"/>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8BE8A93">
            <w:pPr>
              <w:pStyle w:val="8"/>
              <w:keepNext w:val="0"/>
              <w:keepLines w:val="0"/>
              <w:widowControl/>
              <w:suppressLineNumbers w:val="0"/>
              <w:spacing w:before="0" w:beforeAutospacing="1" w:after="0" w:afterAutospacing="1"/>
              <w:ind w:left="0" w:right="0"/>
              <w:jc w:val="center"/>
              <w:rPr>
                <w:rFonts w:hint="default" w:ascii="Times New Roman Regular" w:hAnsi="Times New Roman Regular" w:cs="Times New Roman Regular"/>
              </w:rPr>
            </w:pPr>
            <w:r>
              <w:rPr>
                <w:rFonts w:hint="default" w:ascii="Times New Roman Regular" w:hAnsi="Times New Roman Regular" w:cs="Times New Roman Regular"/>
                <w:b/>
                <w:bCs/>
              </w:rPr>
              <w:t>Role/Responsibility</w:t>
            </w:r>
          </w:p>
        </w:tc>
      </w:tr>
      <w:tr w14:paraId="3F36DC68">
        <w:tc>
          <w:tcPr>
            <w:tcW w:w="2119" w:type="pct"/>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61C067E">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JH Cerilles State College – School of Nursing</w:t>
            </w:r>
          </w:p>
        </w:tc>
        <w:tc>
          <w:tcPr>
            <w:tcW w:w="2880" w:type="pct"/>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1E189ED">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Lead implementing unit</w:t>
            </w:r>
          </w:p>
        </w:tc>
      </w:tr>
      <w:tr w14:paraId="42D1F800">
        <w:tc>
          <w:tcPr>
            <w:tcW w:w="2119" w:type="pct"/>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2DBA829">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Project Leader</w:t>
            </w:r>
          </w:p>
        </w:tc>
        <w:tc>
          <w:tcPr>
            <w:tcW w:w="2880" w:type="pct"/>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E4C7A59">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Overall program coordination, supervision, monitoring, and evaluation</w:t>
            </w:r>
          </w:p>
        </w:tc>
      </w:tr>
      <w:tr w14:paraId="0E353BB6">
        <w:tc>
          <w:tcPr>
            <w:tcW w:w="2119" w:type="pct"/>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E9ECEA4">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Co-Project Leader/Faculty Members</w:t>
            </w:r>
          </w:p>
        </w:tc>
        <w:tc>
          <w:tcPr>
            <w:tcW w:w="2880" w:type="pct"/>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3564F7A">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Program implementation, mentoring, and student supervision</w:t>
            </w:r>
          </w:p>
        </w:tc>
      </w:tr>
      <w:tr w14:paraId="791185C5">
        <w:tc>
          <w:tcPr>
            <w:tcW w:w="2119" w:type="pct"/>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0975060">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Nursing Students – Levels II–IV</w:t>
            </w:r>
          </w:p>
        </w:tc>
        <w:tc>
          <w:tcPr>
            <w:tcW w:w="2880" w:type="pct"/>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0C5CA74">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Community educators, health promoters, and student volunteers</w:t>
            </w:r>
          </w:p>
        </w:tc>
      </w:tr>
      <w:tr w14:paraId="326CBFAB">
        <w:tc>
          <w:tcPr>
            <w:tcW w:w="2119" w:type="pct"/>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8CF6131">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RLE Coordinator</w:t>
            </w:r>
          </w:p>
        </w:tc>
        <w:tc>
          <w:tcPr>
            <w:tcW w:w="2880" w:type="pct"/>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FAEDF14">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Integration of activities with appropriate RLE/community experiences</w:t>
            </w:r>
          </w:p>
        </w:tc>
      </w:tr>
      <w:tr w14:paraId="2B31DCC4">
        <w:tc>
          <w:tcPr>
            <w:tcW w:w="2119" w:type="pct"/>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0D4121A">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Extension Services Office</w:t>
            </w:r>
          </w:p>
        </w:tc>
        <w:tc>
          <w:tcPr>
            <w:tcW w:w="2880" w:type="pct"/>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4995706">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Extension coordination, documentation, monitoring, and institutional support</w:t>
            </w:r>
          </w:p>
        </w:tc>
      </w:tr>
      <w:tr w14:paraId="27EF9237">
        <w:tc>
          <w:tcPr>
            <w:tcW w:w="2119" w:type="pct"/>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B4511CE">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NARS CARE Program</w:t>
            </w:r>
          </w:p>
        </w:tc>
        <w:tc>
          <w:tcPr>
            <w:tcW w:w="2880" w:type="pct"/>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455E440">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Support for community-based health promotion and disease-prevention activities</w:t>
            </w:r>
          </w:p>
        </w:tc>
      </w:tr>
      <w:tr w14:paraId="60954C6E">
        <w:tc>
          <w:tcPr>
            <w:tcW w:w="2119" w:type="pct"/>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E4C9E32">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Community Health Nursing Faculty</w:t>
            </w:r>
          </w:p>
        </w:tc>
        <w:tc>
          <w:tcPr>
            <w:tcW w:w="2880" w:type="pct"/>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E27B02A">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Technical supervision and community health guidance</w:t>
            </w:r>
          </w:p>
        </w:tc>
      </w:tr>
    </w:tbl>
    <w:p w14:paraId="7C978213">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b w:val="0"/>
          <w:sz w:val="24"/>
          <w:szCs w:val="24"/>
          <w:lang w:val="en-US"/>
        </w:rPr>
      </w:pPr>
      <w:r>
        <w:rPr>
          <w:rFonts w:hint="default" w:ascii="Times New Roman Regular" w:hAnsi="Times New Roman Regular" w:cs="Times New Roman Regular"/>
          <w:b w:val="0"/>
          <w:sz w:val="24"/>
          <w:szCs w:val="24"/>
        </w:rPr>
        <w:t>The proposed implementers are consistent with the cooperating agencies identified in the original research proposal, including the JHCSC School of Nursing, RLE Coordinator, NARS CARE Program, Extension Services Office, Ethics and Review Committee, and partner LGU/RHU extension programs.</w:t>
      </w:r>
    </w:p>
    <w:p w14:paraId="1FAD64EB">
      <w:pPr>
        <w:pStyle w:val="3"/>
        <w:keepNext w:val="0"/>
        <w:keepLines w:val="0"/>
        <w:widowControl/>
        <w:suppressLineNumbers w:val="0"/>
        <w:jc w:val="both"/>
        <w:rPr>
          <w:rFonts w:hint="default" w:ascii="Times New Roman Regular" w:hAnsi="Times New Roman Regular" w:cs="Times New Roman Regular"/>
          <w:b w:val="0"/>
          <w:bCs w:val="0"/>
          <w:sz w:val="24"/>
          <w:szCs w:val="24"/>
        </w:rPr>
      </w:pPr>
      <w:r>
        <w:rPr>
          <w:rFonts w:hint="default" w:ascii="Times New Roman Regular" w:hAnsi="Times New Roman Regular" w:cs="Times New Roman Regular"/>
          <w:b w:val="0"/>
          <w:bCs/>
          <w:sz w:val="24"/>
          <w:szCs w:val="24"/>
        </w:rPr>
        <w:t xml:space="preserve">3. </w:t>
      </w:r>
      <w:r>
        <w:rPr>
          <w:rFonts w:hint="default" w:ascii="Times New Roman Regular" w:hAnsi="Times New Roman Regular" w:cs="Times New Roman Regular"/>
          <w:b w:val="0"/>
          <w:bCs w:val="0"/>
          <w:sz w:val="24"/>
          <w:szCs w:val="24"/>
        </w:rPr>
        <w:t>PROJECT TEAM</w:t>
      </w:r>
    </w:p>
    <w:p w14:paraId="66F33237">
      <w:pPr>
        <w:pStyle w:val="4"/>
        <w:keepNext w:val="0"/>
        <w:keepLines w:val="0"/>
        <w:pageBreakBefore w:val="0"/>
        <w:widowControl/>
        <w:suppressLineNumbers w:val="0"/>
        <w:kinsoku/>
        <w:wordWrap/>
        <w:overflowPunct/>
        <w:topLinePunct w:val="0"/>
        <w:autoSpaceDE/>
        <w:autoSpaceDN/>
        <w:bidi w:val="0"/>
        <w:adjustRightInd/>
        <w:snapToGrid/>
        <w:spacing w:line="168" w:lineRule="auto"/>
        <w:jc w:val="both"/>
        <w:textAlignment w:val="auto"/>
        <w:rPr>
          <w:rFonts w:hint="default" w:ascii="Times New Roman Regular" w:hAnsi="Times New Roman Regular" w:cs="Times New Roman Regular"/>
          <w:b w:val="0"/>
          <w:bCs w:val="0"/>
          <w:sz w:val="24"/>
          <w:szCs w:val="24"/>
        </w:rPr>
      </w:pPr>
      <w:r>
        <w:rPr>
          <w:rFonts w:hint="default" w:ascii="Times New Roman Regular" w:hAnsi="Times New Roman Regular" w:cs="Times New Roman Regular"/>
          <w:b w:val="0"/>
          <w:bCs w:val="0"/>
          <w:sz w:val="24"/>
          <w:szCs w:val="24"/>
        </w:rPr>
        <w:t>Project Leader</w:t>
      </w:r>
      <w:r>
        <w:rPr>
          <w:rFonts w:hint="default" w:ascii="Times New Roman Regular" w:hAnsi="Times New Roman Regular" w:cs="Times New Roman Regular"/>
          <w:b w:val="0"/>
          <w:bCs w:val="0"/>
          <w:sz w:val="24"/>
          <w:szCs w:val="24"/>
          <w:lang w:val="en-US"/>
        </w:rPr>
        <w:t>:</w:t>
      </w:r>
      <w:r>
        <w:rPr>
          <w:rFonts w:hint="default" w:ascii="Times New Roman Regular" w:hAnsi="Times New Roman Regular" w:cs="Times New Roman Regular"/>
          <w:b w:val="0"/>
          <w:bCs w:val="0"/>
          <w:sz w:val="24"/>
          <w:szCs w:val="24"/>
        </w:rPr>
        <w:t>Jerry Philip P. Martin</w:t>
      </w:r>
    </w:p>
    <w:p w14:paraId="59B7571A">
      <w:pPr>
        <w:pStyle w:val="4"/>
        <w:keepNext w:val="0"/>
        <w:keepLines w:val="0"/>
        <w:pageBreakBefore w:val="0"/>
        <w:widowControl/>
        <w:suppressLineNumbers w:val="0"/>
        <w:kinsoku/>
        <w:wordWrap/>
        <w:overflowPunct/>
        <w:topLinePunct w:val="0"/>
        <w:autoSpaceDE/>
        <w:autoSpaceDN/>
        <w:bidi w:val="0"/>
        <w:adjustRightInd/>
        <w:snapToGrid/>
        <w:spacing w:line="168" w:lineRule="auto"/>
        <w:jc w:val="both"/>
        <w:textAlignment w:val="auto"/>
        <w:rPr>
          <w:rFonts w:hint="default" w:ascii="Times New Roman Regular" w:hAnsi="Times New Roman Regular" w:cs="Times New Roman Regular"/>
          <w:b w:val="0"/>
          <w:bCs w:val="0"/>
          <w:sz w:val="24"/>
          <w:szCs w:val="24"/>
        </w:rPr>
      </w:pPr>
      <w:r>
        <w:rPr>
          <w:rFonts w:hint="default" w:ascii="Times New Roman Regular" w:hAnsi="Times New Roman Regular" w:cs="Times New Roman Regular"/>
          <w:b w:val="0"/>
          <w:bCs w:val="0"/>
          <w:sz w:val="24"/>
          <w:szCs w:val="24"/>
        </w:rPr>
        <w:t>Co-Project Leader</w:t>
      </w:r>
      <w:r>
        <w:rPr>
          <w:rFonts w:hint="default" w:ascii="Times New Roman Regular" w:hAnsi="Times New Roman Regular" w:cs="Times New Roman Regular"/>
          <w:b w:val="0"/>
          <w:bCs w:val="0"/>
          <w:sz w:val="24"/>
          <w:szCs w:val="24"/>
          <w:lang w:val="en-US"/>
        </w:rPr>
        <w:t xml:space="preserve">: </w:t>
      </w:r>
      <w:r>
        <w:rPr>
          <w:rFonts w:hint="default" w:ascii="Times New Roman Regular" w:hAnsi="Times New Roman Regular" w:cs="Times New Roman Regular"/>
          <w:b w:val="0"/>
          <w:bCs w:val="0"/>
          <w:sz w:val="24"/>
          <w:szCs w:val="24"/>
        </w:rPr>
        <w:t>Edmarie P. Tabacolde</w:t>
      </w:r>
    </w:p>
    <w:p w14:paraId="618A3295">
      <w:pPr>
        <w:pStyle w:val="3"/>
        <w:keepNext w:val="0"/>
        <w:keepLines w:val="0"/>
        <w:widowControl/>
        <w:suppressLineNumbers w:val="0"/>
        <w:jc w:val="both"/>
        <w:rPr>
          <w:rFonts w:hint="default" w:ascii="Times New Roman Regular" w:hAnsi="Times New Roman Regular" w:cs="Times New Roman Regular"/>
          <w:b w:val="0"/>
          <w:sz w:val="24"/>
          <w:szCs w:val="24"/>
        </w:rPr>
      </w:pPr>
      <w:r>
        <w:rPr>
          <w:rFonts w:hint="default" w:ascii="Times New Roman Regular" w:hAnsi="Times New Roman Regular" w:cs="Times New Roman Regular"/>
          <w:b w:val="0"/>
          <w:bCs/>
          <w:sz w:val="24"/>
          <w:szCs w:val="24"/>
        </w:rPr>
        <w:t>4. TARGET GROUP</w:t>
      </w:r>
    </w:p>
    <w:p w14:paraId="3FA0BBDD">
      <w:pPr>
        <w:pStyle w:val="4"/>
        <w:keepNext w:val="0"/>
        <w:keepLines w:val="0"/>
        <w:widowControl/>
        <w:suppressLineNumbers w:val="0"/>
        <w:rPr>
          <w:rFonts w:hint="default" w:ascii="Times New Roman Regular" w:hAnsi="Times New Roman Regular" w:cs="Times New Roman Regular"/>
          <w:b w:val="0"/>
          <w:sz w:val="24"/>
          <w:szCs w:val="24"/>
        </w:rPr>
      </w:pPr>
      <w:r>
        <w:rPr>
          <w:rFonts w:hint="default" w:ascii="Times New Roman Regular" w:hAnsi="Times New Roman Regular" w:cs="Times New Roman Regular"/>
          <w:b w:val="0"/>
          <w:bCs/>
          <w:sz w:val="24"/>
          <w:szCs w:val="24"/>
        </w:rPr>
        <w:t>Primary Beneficiaries</w:t>
      </w:r>
    </w:p>
    <w:p w14:paraId="4F6BD467">
      <w:pPr>
        <w:keepNext w:val="0"/>
        <w:keepLines w:val="0"/>
        <w:widowControl/>
        <w:numPr>
          <w:ilvl w:val="0"/>
          <w:numId w:val="1"/>
        </w:numPr>
        <w:suppressLineNumbers w:val="0"/>
        <w:spacing w:before="0" w:beforeAutospacing="1" w:after="0" w:afterAutospacing="1"/>
        <w:ind w:left="720" w:hanging="360"/>
        <w:rPr>
          <w:rFonts w:hint="default" w:ascii="Times New Roman Regular" w:hAnsi="Times New Roman Regular" w:cs="Times New Roman Regular"/>
          <w:b w:val="0"/>
          <w:sz w:val="24"/>
          <w:szCs w:val="24"/>
        </w:rPr>
      </w:pPr>
      <w:r>
        <w:rPr>
          <w:rFonts w:hint="default" w:ascii="Times New Roman Regular" w:hAnsi="Times New Roman Regular" w:cs="Times New Roman Regular"/>
          <w:b w:val="0"/>
          <w:sz w:val="24"/>
          <w:szCs w:val="24"/>
        </w:rPr>
        <w:t xml:space="preserve">Selected </w:t>
      </w:r>
      <w:r>
        <w:rPr>
          <w:rFonts w:hint="default" w:ascii="Times New Roman Regular" w:hAnsi="Times New Roman Regular" w:cs="Times New Roman Regular"/>
          <w:b w:val="0"/>
          <w:bCs/>
          <w:sz w:val="24"/>
          <w:szCs w:val="24"/>
        </w:rPr>
        <w:t>vulnerable individuals, families, and community members</w:t>
      </w:r>
    </w:p>
    <w:p w14:paraId="3800F42E">
      <w:pPr>
        <w:keepNext w:val="0"/>
        <w:keepLines w:val="0"/>
        <w:widowControl/>
        <w:numPr>
          <w:ilvl w:val="0"/>
          <w:numId w:val="1"/>
        </w:numPr>
        <w:suppressLineNumbers w:val="0"/>
        <w:spacing w:before="0" w:beforeAutospacing="1" w:after="0" w:afterAutospacing="1"/>
        <w:ind w:left="720" w:hanging="360"/>
        <w:rPr>
          <w:rFonts w:hint="default" w:ascii="Times New Roman Regular" w:hAnsi="Times New Roman Regular" w:cs="Times New Roman Regular"/>
          <w:b w:val="0"/>
          <w:sz w:val="24"/>
          <w:szCs w:val="24"/>
        </w:rPr>
      </w:pPr>
      <w:r>
        <w:rPr>
          <w:rFonts w:hint="default" w:ascii="Times New Roman Regular" w:hAnsi="Times New Roman Regular" w:cs="Times New Roman Regular"/>
          <w:b w:val="0"/>
          <w:sz w:val="24"/>
          <w:szCs w:val="24"/>
        </w:rPr>
        <w:t>Older adults</w:t>
      </w:r>
    </w:p>
    <w:p w14:paraId="37604DAA">
      <w:pPr>
        <w:keepNext w:val="0"/>
        <w:keepLines w:val="0"/>
        <w:widowControl/>
        <w:numPr>
          <w:ilvl w:val="0"/>
          <w:numId w:val="1"/>
        </w:numPr>
        <w:suppressLineNumbers w:val="0"/>
        <w:spacing w:before="0" w:beforeAutospacing="1" w:after="0" w:afterAutospacing="1"/>
        <w:ind w:left="720" w:hanging="360"/>
        <w:rPr>
          <w:rFonts w:hint="default" w:ascii="Times New Roman Regular" w:hAnsi="Times New Roman Regular" w:cs="Times New Roman Regular"/>
          <w:b w:val="0"/>
          <w:sz w:val="24"/>
          <w:szCs w:val="24"/>
        </w:rPr>
      </w:pPr>
      <w:r>
        <w:rPr>
          <w:rFonts w:hint="default" w:ascii="Times New Roman Regular" w:hAnsi="Times New Roman Regular" w:cs="Times New Roman Regular"/>
          <w:b w:val="0"/>
          <w:sz w:val="24"/>
          <w:szCs w:val="24"/>
        </w:rPr>
        <w:t>Parents and caregivers</w:t>
      </w:r>
    </w:p>
    <w:p w14:paraId="630852DB">
      <w:pPr>
        <w:keepNext w:val="0"/>
        <w:keepLines w:val="0"/>
        <w:widowControl/>
        <w:numPr>
          <w:ilvl w:val="0"/>
          <w:numId w:val="1"/>
        </w:numPr>
        <w:suppressLineNumbers w:val="0"/>
        <w:spacing w:before="0" w:beforeAutospacing="1" w:after="0" w:afterAutospacing="1"/>
        <w:ind w:left="720" w:hanging="360"/>
        <w:rPr>
          <w:rFonts w:hint="default" w:ascii="Times New Roman Regular" w:hAnsi="Times New Roman Regular" w:cs="Times New Roman Regular"/>
          <w:b w:val="0"/>
          <w:sz w:val="24"/>
          <w:szCs w:val="24"/>
        </w:rPr>
      </w:pPr>
      <w:r>
        <w:rPr>
          <w:rFonts w:hint="default" w:ascii="Times New Roman Regular" w:hAnsi="Times New Roman Regular" w:cs="Times New Roman Regular"/>
          <w:b w:val="0"/>
          <w:sz w:val="24"/>
          <w:szCs w:val="24"/>
        </w:rPr>
        <w:t>Individuals and families with identified health education needs</w:t>
      </w:r>
    </w:p>
    <w:p w14:paraId="75A34D81">
      <w:pPr>
        <w:keepNext w:val="0"/>
        <w:keepLines w:val="0"/>
        <w:widowControl/>
        <w:numPr>
          <w:ilvl w:val="0"/>
          <w:numId w:val="1"/>
        </w:numPr>
        <w:suppressLineNumbers w:val="0"/>
        <w:spacing w:before="0" w:beforeAutospacing="1" w:after="0" w:afterAutospacing="1"/>
        <w:ind w:left="720" w:hanging="360"/>
        <w:rPr>
          <w:rFonts w:hint="default" w:ascii="Times New Roman Regular" w:hAnsi="Times New Roman Regular" w:cs="Times New Roman Regular"/>
          <w:b w:val="0"/>
          <w:sz w:val="24"/>
          <w:szCs w:val="24"/>
        </w:rPr>
      </w:pPr>
      <w:r>
        <w:rPr>
          <w:rFonts w:hint="default" w:ascii="Times New Roman Regular" w:hAnsi="Times New Roman Regular" w:cs="Times New Roman Regular"/>
          <w:b w:val="0"/>
          <w:sz w:val="24"/>
          <w:szCs w:val="24"/>
        </w:rPr>
        <w:t>Community members requiring health-promotion and disease-prevention information</w:t>
      </w:r>
    </w:p>
    <w:p w14:paraId="5CC4D867">
      <w:pPr>
        <w:pStyle w:val="4"/>
        <w:keepNext w:val="0"/>
        <w:keepLines w:val="0"/>
        <w:widowControl/>
        <w:suppressLineNumbers w:val="0"/>
        <w:rPr>
          <w:rFonts w:hint="default" w:ascii="Times New Roman Regular" w:hAnsi="Times New Roman Regular" w:cs="Times New Roman Regular"/>
          <w:b w:val="0"/>
          <w:sz w:val="24"/>
          <w:szCs w:val="24"/>
        </w:rPr>
      </w:pPr>
      <w:r>
        <w:rPr>
          <w:rFonts w:hint="default" w:ascii="Times New Roman Regular" w:hAnsi="Times New Roman Regular" w:cs="Times New Roman Regular"/>
          <w:b w:val="0"/>
          <w:bCs/>
          <w:sz w:val="24"/>
          <w:szCs w:val="24"/>
        </w:rPr>
        <w:t>Secondary Beneficiaries</w:t>
      </w:r>
    </w:p>
    <w:p w14:paraId="24857AE2">
      <w:pPr>
        <w:keepNext w:val="0"/>
        <w:keepLines w:val="0"/>
        <w:widowControl/>
        <w:numPr>
          <w:ilvl w:val="0"/>
          <w:numId w:val="2"/>
        </w:numPr>
        <w:suppressLineNumbers w:val="0"/>
        <w:spacing w:before="0" w:beforeAutospacing="1" w:after="0" w:afterAutospacing="1"/>
        <w:ind w:left="720" w:hanging="360"/>
        <w:rPr>
          <w:rFonts w:hint="default" w:ascii="Times New Roman Regular" w:hAnsi="Times New Roman Regular" w:cs="Times New Roman Regular"/>
          <w:b w:val="0"/>
          <w:sz w:val="24"/>
          <w:szCs w:val="24"/>
        </w:rPr>
      </w:pPr>
      <w:r>
        <w:rPr>
          <w:rFonts w:hint="default" w:ascii="Times New Roman Regular" w:hAnsi="Times New Roman Regular" w:cs="Times New Roman Regular"/>
          <w:b w:val="0"/>
          <w:bCs/>
          <w:sz w:val="24"/>
          <w:szCs w:val="24"/>
        </w:rPr>
        <w:t>JHCSC nursing students, particularly Levels II–IV</w:t>
      </w:r>
    </w:p>
    <w:p w14:paraId="6CB45633">
      <w:pPr>
        <w:keepNext w:val="0"/>
        <w:keepLines w:val="0"/>
        <w:widowControl/>
        <w:numPr>
          <w:ilvl w:val="0"/>
          <w:numId w:val="2"/>
        </w:numPr>
        <w:suppressLineNumbers w:val="0"/>
        <w:spacing w:before="0" w:beforeAutospacing="1" w:after="0" w:afterAutospacing="1"/>
        <w:ind w:left="720" w:hanging="360"/>
        <w:rPr>
          <w:rFonts w:hint="default" w:ascii="Times New Roman Regular" w:hAnsi="Times New Roman Regular" w:cs="Times New Roman Regular"/>
          <w:b w:val="0"/>
          <w:sz w:val="24"/>
          <w:szCs w:val="24"/>
        </w:rPr>
      </w:pPr>
      <w:r>
        <w:rPr>
          <w:rFonts w:hint="default" w:ascii="Times New Roman Regular" w:hAnsi="Times New Roman Regular" w:cs="Times New Roman Regular"/>
          <w:b w:val="0"/>
          <w:sz w:val="24"/>
          <w:szCs w:val="24"/>
        </w:rPr>
        <w:t>Nursing faculty and RLE instructors</w:t>
      </w:r>
    </w:p>
    <w:p w14:paraId="78565670">
      <w:pPr>
        <w:keepNext w:val="0"/>
        <w:keepLines w:val="0"/>
        <w:widowControl/>
        <w:numPr>
          <w:ilvl w:val="0"/>
          <w:numId w:val="2"/>
        </w:numPr>
        <w:suppressLineNumbers w:val="0"/>
        <w:spacing w:before="0" w:beforeAutospacing="1" w:after="0" w:afterAutospacing="1"/>
        <w:ind w:left="720" w:hanging="360"/>
        <w:rPr>
          <w:rFonts w:hint="default" w:ascii="Times New Roman Regular" w:hAnsi="Times New Roman Regular" w:cs="Times New Roman Regular"/>
          <w:b w:val="0"/>
          <w:sz w:val="24"/>
          <w:szCs w:val="24"/>
        </w:rPr>
      </w:pPr>
      <w:r>
        <w:rPr>
          <w:rFonts w:hint="default" w:ascii="Times New Roman Regular" w:hAnsi="Times New Roman Regular" w:cs="Times New Roman Regular"/>
          <w:b w:val="0"/>
          <w:sz w:val="24"/>
          <w:szCs w:val="24"/>
        </w:rPr>
        <w:t>Community health workers and volunteers</w:t>
      </w:r>
    </w:p>
    <w:p w14:paraId="0749D4CA">
      <w:pPr>
        <w:pStyle w:val="3"/>
        <w:keepNext w:val="0"/>
        <w:keepLines w:val="0"/>
        <w:widowControl/>
        <w:suppressLineNumbers w:val="0"/>
        <w:jc w:val="both"/>
        <w:rPr>
          <w:rFonts w:hint="default" w:ascii="Times New Roman Regular" w:hAnsi="Times New Roman Regular" w:cs="Times New Roman Regular"/>
          <w:b w:val="0"/>
          <w:sz w:val="24"/>
          <w:szCs w:val="24"/>
        </w:rPr>
      </w:pPr>
      <w:r>
        <w:rPr>
          <w:rFonts w:hint="default" w:ascii="Times New Roman Regular" w:hAnsi="Times New Roman Regular" w:cs="Times New Roman Regular"/>
          <w:b w:val="0"/>
          <w:bCs/>
          <w:sz w:val="24"/>
          <w:szCs w:val="24"/>
        </w:rPr>
        <w:t>5. COOPERATING AGENCIES/PARTNERS</w:t>
      </w:r>
    </w:p>
    <w:p w14:paraId="0264B4D2">
      <w:pPr>
        <w:keepNext w:val="0"/>
        <w:keepLines w:val="0"/>
        <w:widowControl/>
        <w:numPr>
          <w:ilvl w:val="0"/>
          <w:numId w:val="3"/>
        </w:numPr>
        <w:suppressLineNumbers w:val="0"/>
        <w:spacing w:before="0" w:beforeAutospacing="1" w:after="0" w:afterAutospacing="1"/>
        <w:ind w:left="720" w:hanging="360"/>
        <w:rPr>
          <w:rFonts w:hint="default" w:ascii="Times New Roman Regular" w:hAnsi="Times New Roman Regular" w:cs="Times New Roman Regular"/>
          <w:b w:val="0"/>
          <w:sz w:val="24"/>
          <w:szCs w:val="24"/>
        </w:rPr>
      </w:pPr>
      <w:r>
        <w:rPr>
          <w:rFonts w:hint="default" w:ascii="Times New Roman Regular" w:hAnsi="Times New Roman Regular" w:cs="Times New Roman Regular"/>
          <w:b w:val="0"/>
          <w:bCs/>
          <w:sz w:val="24"/>
          <w:szCs w:val="24"/>
        </w:rPr>
        <w:t>JH Cerilles State College – School of Nursing</w:t>
      </w:r>
    </w:p>
    <w:p w14:paraId="3CF62368">
      <w:pPr>
        <w:keepNext w:val="0"/>
        <w:keepLines w:val="0"/>
        <w:widowControl/>
        <w:numPr>
          <w:ilvl w:val="0"/>
          <w:numId w:val="3"/>
        </w:numPr>
        <w:suppressLineNumbers w:val="0"/>
        <w:spacing w:before="0" w:beforeAutospacing="1" w:after="0" w:afterAutospacing="1"/>
        <w:ind w:left="720" w:hanging="360"/>
        <w:rPr>
          <w:rFonts w:hint="default" w:ascii="Times New Roman Regular" w:hAnsi="Times New Roman Regular" w:cs="Times New Roman Regular"/>
          <w:b w:val="0"/>
          <w:sz w:val="24"/>
          <w:szCs w:val="24"/>
        </w:rPr>
      </w:pPr>
      <w:r>
        <w:rPr>
          <w:rFonts w:hint="default" w:ascii="Times New Roman Regular" w:hAnsi="Times New Roman Regular" w:cs="Times New Roman Regular"/>
          <w:b w:val="0"/>
          <w:bCs/>
          <w:sz w:val="24"/>
          <w:szCs w:val="24"/>
        </w:rPr>
        <w:t>JHCSC Extension Services Office</w:t>
      </w:r>
    </w:p>
    <w:p w14:paraId="41FB6E57">
      <w:pPr>
        <w:keepNext w:val="0"/>
        <w:keepLines w:val="0"/>
        <w:widowControl/>
        <w:numPr>
          <w:ilvl w:val="0"/>
          <w:numId w:val="3"/>
        </w:numPr>
        <w:suppressLineNumbers w:val="0"/>
        <w:spacing w:before="0" w:beforeAutospacing="1" w:after="0" w:afterAutospacing="1"/>
        <w:ind w:left="720" w:hanging="360"/>
        <w:rPr>
          <w:rFonts w:hint="default" w:ascii="Times New Roman Regular" w:hAnsi="Times New Roman Regular" w:cs="Times New Roman Regular"/>
          <w:b w:val="0"/>
          <w:sz w:val="24"/>
          <w:szCs w:val="24"/>
        </w:rPr>
      </w:pPr>
      <w:r>
        <w:rPr>
          <w:rFonts w:hint="default" w:ascii="Times New Roman Regular" w:hAnsi="Times New Roman Regular" w:cs="Times New Roman Regular"/>
          <w:b w:val="0"/>
          <w:bCs/>
          <w:sz w:val="24"/>
          <w:szCs w:val="24"/>
        </w:rPr>
        <w:t>JHCSC RLE Office/Coordinator</w:t>
      </w:r>
    </w:p>
    <w:p w14:paraId="7764D18A">
      <w:pPr>
        <w:keepNext w:val="0"/>
        <w:keepLines w:val="0"/>
        <w:widowControl/>
        <w:numPr>
          <w:ilvl w:val="0"/>
          <w:numId w:val="3"/>
        </w:numPr>
        <w:suppressLineNumbers w:val="0"/>
        <w:spacing w:before="0" w:beforeAutospacing="1" w:after="0" w:afterAutospacing="1"/>
        <w:ind w:left="720" w:hanging="360"/>
        <w:rPr>
          <w:rFonts w:hint="default" w:ascii="Times New Roman Regular" w:hAnsi="Times New Roman Regular" w:cs="Times New Roman Regular"/>
          <w:b w:val="0"/>
          <w:sz w:val="24"/>
          <w:szCs w:val="24"/>
        </w:rPr>
      </w:pPr>
      <w:r>
        <w:rPr>
          <w:rFonts w:hint="default" w:ascii="Times New Roman Regular" w:hAnsi="Times New Roman Regular" w:cs="Times New Roman Regular"/>
          <w:b w:val="0"/>
          <w:bCs/>
          <w:sz w:val="24"/>
          <w:szCs w:val="24"/>
        </w:rPr>
        <w:t>JHCSC NARS CARE Program</w:t>
      </w:r>
    </w:p>
    <w:p w14:paraId="2DDD271C">
      <w:pPr>
        <w:keepNext w:val="0"/>
        <w:keepLines w:val="0"/>
        <w:widowControl/>
        <w:numPr>
          <w:ilvl w:val="0"/>
          <w:numId w:val="3"/>
        </w:numPr>
        <w:suppressLineNumbers w:val="0"/>
        <w:spacing w:before="0" w:beforeAutospacing="1" w:after="0" w:afterAutospacing="1"/>
        <w:ind w:left="720" w:hanging="360"/>
        <w:rPr>
          <w:rFonts w:hint="default" w:ascii="Times New Roman Regular" w:hAnsi="Times New Roman Regular" w:cs="Times New Roman Regular"/>
          <w:b w:val="0"/>
          <w:sz w:val="24"/>
          <w:szCs w:val="24"/>
        </w:rPr>
      </w:pPr>
      <w:r>
        <w:rPr>
          <w:rFonts w:hint="default" w:ascii="Times New Roman Regular" w:hAnsi="Times New Roman Regular" w:cs="Times New Roman Regular"/>
          <w:b w:val="0"/>
          <w:bCs/>
          <w:sz w:val="24"/>
          <w:szCs w:val="24"/>
        </w:rPr>
        <w:t>Partner Local Government Units (LGUs)</w:t>
      </w:r>
    </w:p>
    <w:p w14:paraId="70D30E58">
      <w:pPr>
        <w:keepNext w:val="0"/>
        <w:keepLines w:val="0"/>
        <w:widowControl/>
        <w:numPr>
          <w:ilvl w:val="0"/>
          <w:numId w:val="3"/>
        </w:numPr>
        <w:suppressLineNumbers w:val="0"/>
        <w:spacing w:before="0" w:beforeAutospacing="1" w:after="0" w:afterAutospacing="1"/>
        <w:ind w:left="720" w:hanging="360"/>
        <w:rPr>
          <w:rFonts w:hint="default" w:ascii="Times New Roman Regular" w:hAnsi="Times New Roman Regular" w:cs="Times New Roman Regular"/>
          <w:b w:val="0"/>
          <w:sz w:val="24"/>
          <w:szCs w:val="24"/>
        </w:rPr>
      </w:pPr>
      <w:r>
        <w:rPr>
          <w:rFonts w:hint="default" w:ascii="Times New Roman Regular" w:hAnsi="Times New Roman Regular" w:cs="Times New Roman Regular"/>
          <w:b w:val="0"/>
          <w:bCs/>
          <w:sz w:val="24"/>
          <w:szCs w:val="24"/>
        </w:rPr>
        <w:t>Municipal/City Rural Health Units (RHUs)</w:t>
      </w:r>
    </w:p>
    <w:p w14:paraId="66B5DAD4">
      <w:pPr>
        <w:keepNext w:val="0"/>
        <w:keepLines w:val="0"/>
        <w:widowControl/>
        <w:numPr>
          <w:ilvl w:val="0"/>
          <w:numId w:val="3"/>
        </w:numPr>
        <w:suppressLineNumbers w:val="0"/>
        <w:spacing w:before="0" w:beforeAutospacing="1" w:after="0" w:afterAutospacing="1"/>
        <w:ind w:left="720" w:hanging="360"/>
        <w:rPr>
          <w:rFonts w:hint="default" w:ascii="Times New Roman Regular" w:hAnsi="Times New Roman Regular" w:cs="Times New Roman Regular"/>
          <w:b w:val="0"/>
          <w:sz w:val="24"/>
          <w:szCs w:val="24"/>
        </w:rPr>
      </w:pPr>
      <w:r>
        <w:rPr>
          <w:rFonts w:hint="default" w:ascii="Times New Roman Regular" w:hAnsi="Times New Roman Regular" w:cs="Times New Roman Regular"/>
          <w:b w:val="0"/>
          <w:bCs/>
          <w:sz w:val="24"/>
          <w:szCs w:val="24"/>
        </w:rPr>
        <w:t>Barangay Health Stations</w:t>
      </w:r>
    </w:p>
    <w:p w14:paraId="7DDB69F4">
      <w:pPr>
        <w:keepNext w:val="0"/>
        <w:keepLines w:val="0"/>
        <w:widowControl/>
        <w:numPr>
          <w:ilvl w:val="0"/>
          <w:numId w:val="3"/>
        </w:numPr>
        <w:suppressLineNumbers w:val="0"/>
        <w:spacing w:before="0" w:beforeAutospacing="1" w:after="0" w:afterAutospacing="1"/>
        <w:ind w:left="720" w:hanging="360"/>
        <w:rPr>
          <w:rFonts w:hint="default" w:ascii="Times New Roman Regular" w:hAnsi="Times New Roman Regular" w:cs="Times New Roman Regular"/>
          <w:b w:val="0"/>
          <w:sz w:val="24"/>
          <w:szCs w:val="24"/>
        </w:rPr>
      </w:pPr>
      <w:r>
        <w:rPr>
          <w:rFonts w:hint="default" w:ascii="Times New Roman Regular" w:hAnsi="Times New Roman Regular" w:cs="Times New Roman Regular"/>
          <w:b w:val="0"/>
          <w:bCs/>
          <w:sz w:val="24"/>
          <w:szCs w:val="24"/>
        </w:rPr>
        <w:t>Barangay Local Government Units</w:t>
      </w:r>
    </w:p>
    <w:p w14:paraId="1B8245FA">
      <w:pPr>
        <w:keepNext w:val="0"/>
        <w:keepLines w:val="0"/>
        <w:widowControl/>
        <w:numPr>
          <w:ilvl w:val="0"/>
          <w:numId w:val="3"/>
        </w:numPr>
        <w:suppressLineNumbers w:val="0"/>
        <w:spacing w:before="0" w:beforeAutospacing="1" w:after="0" w:afterAutospacing="1"/>
        <w:ind w:left="720" w:hanging="360"/>
        <w:rPr>
          <w:rFonts w:hint="default" w:ascii="Times New Roman Regular" w:hAnsi="Times New Roman Regular" w:cs="Times New Roman Regular"/>
          <w:b w:val="0"/>
          <w:sz w:val="24"/>
          <w:szCs w:val="24"/>
        </w:rPr>
      </w:pPr>
      <w:r>
        <w:rPr>
          <w:rFonts w:hint="default" w:ascii="Times New Roman Regular" w:hAnsi="Times New Roman Regular" w:cs="Times New Roman Regular"/>
          <w:b w:val="0"/>
          <w:bCs/>
          <w:sz w:val="24"/>
          <w:szCs w:val="24"/>
        </w:rPr>
        <w:t>Barangay Health Workers (BHWs)</w:t>
      </w:r>
    </w:p>
    <w:p w14:paraId="522A20A2">
      <w:pPr>
        <w:keepNext w:val="0"/>
        <w:keepLines w:val="0"/>
        <w:widowControl/>
        <w:numPr>
          <w:ilvl w:val="0"/>
          <w:numId w:val="3"/>
        </w:numPr>
        <w:suppressLineNumbers w:val="0"/>
        <w:spacing w:before="0" w:beforeAutospacing="1" w:after="0" w:afterAutospacing="1"/>
        <w:ind w:left="720" w:hanging="360"/>
        <w:rPr>
          <w:rFonts w:hint="default" w:ascii="Times New Roman Regular" w:hAnsi="Times New Roman Regular" w:cs="Times New Roman Regular"/>
          <w:b w:val="0"/>
          <w:sz w:val="24"/>
          <w:szCs w:val="24"/>
        </w:rPr>
      </w:pPr>
      <w:r>
        <w:rPr>
          <w:rFonts w:hint="default" w:ascii="Times New Roman Regular" w:hAnsi="Times New Roman Regular" w:cs="Times New Roman Regular"/>
          <w:b w:val="0"/>
          <w:bCs/>
          <w:sz w:val="24"/>
          <w:szCs w:val="24"/>
        </w:rPr>
        <w:t>Community-based organizations and people’s organizations</w:t>
      </w:r>
      <w:r>
        <w:rPr>
          <w:rFonts w:hint="default" w:ascii="Times New Roman Regular" w:hAnsi="Times New Roman Regular" w:cs="Times New Roman Regular"/>
          <w:b w:val="0"/>
          <w:sz w:val="24"/>
          <w:szCs w:val="24"/>
        </w:rPr>
        <w:t>, when applicable</w:t>
      </w:r>
    </w:p>
    <w:p w14:paraId="14DFA76D">
      <w:pPr>
        <w:pStyle w:val="2"/>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6. TIMEFRAME</w:t>
      </w:r>
    </w:p>
    <w:p w14:paraId="7017F86A">
      <w:pPr>
        <w:pStyle w:val="4"/>
        <w:keepNext w:val="0"/>
        <w:keepLines w:val="0"/>
        <w:widowControl/>
        <w:suppressLineNumbers w:val="0"/>
        <w:jc w:val="both"/>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b/>
          <w:bCs/>
          <w:sz w:val="24"/>
          <w:szCs w:val="24"/>
        </w:rPr>
        <w:t xml:space="preserve">Proposed Duration: </w:t>
      </w:r>
      <w:r>
        <w:rPr>
          <w:rFonts w:hint="default" w:ascii="Times New Roman Regular" w:hAnsi="Times New Roman Regular" w:cs="Times New Roman Regular"/>
          <w:b/>
          <w:bCs/>
          <w:sz w:val="24"/>
          <w:szCs w:val="24"/>
          <w:lang w:val="en-US"/>
        </w:rPr>
        <w:t xml:space="preserve"> Twelve (12) Months </w:t>
      </w:r>
    </w:p>
    <w:tbl>
      <w:tblPr>
        <w:tblW w:w="5000" w:type="pct"/>
        <w:tblInd w:w="0" w:type="dxa"/>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shd w:val="clear"/>
        <w:tblLayout w:type="fixed"/>
        <w:tblCellMar>
          <w:top w:w="120" w:type="dxa"/>
          <w:left w:w="120" w:type="dxa"/>
          <w:bottom w:w="120" w:type="dxa"/>
          <w:right w:w="120" w:type="dxa"/>
        </w:tblCellMar>
      </w:tblPr>
      <w:tblGrid>
        <w:gridCol w:w="2720"/>
        <w:gridCol w:w="5015"/>
        <w:gridCol w:w="1265"/>
      </w:tblGrid>
      <w:tr w14:paraId="70F9D3BE">
        <w:trPr>
          <w:tblHeader/>
        </w:trPr>
        <w:tc>
          <w:tcPr>
            <w:tcW w:w="2720" w:type="dxa"/>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5816E62">
            <w:pPr>
              <w:pStyle w:val="8"/>
              <w:keepNext w:val="0"/>
              <w:keepLines w:val="0"/>
              <w:widowControl/>
              <w:suppressLineNumbers w:val="0"/>
              <w:spacing w:before="0" w:beforeAutospacing="1" w:after="0" w:afterAutospacing="1"/>
              <w:ind w:left="0" w:right="0"/>
              <w:jc w:val="center"/>
              <w:rPr>
                <w:rFonts w:hint="default" w:ascii="Times New Roman Regular" w:hAnsi="Times New Roman Regular" w:cs="Times New Roman Regular"/>
              </w:rPr>
            </w:pPr>
            <w:r>
              <w:rPr>
                <w:rFonts w:hint="default" w:ascii="Times New Roman Regular" w:hAnsi="Times New Roman Regular" w:cs="Times New Roman Regular"/>
                <w:b/>
                <w:bCs/>
              </w:rPr>
              <w:t>Phase</w:t>
            </w:r>
          </w:p>
        </w:tc>
        <w:tc>
          <w:tcPr>
            <w:tcW w:w="5015" w:type="dxa"/>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9C28280">
            <w:pPr>
              <w:pStyle w:val="8"/>
              <w:keepNext w:val="0"/>
              <w:keepLines w:val="0"/>
              <w:widowControl/>
              <w:suppressLineNumbers w:val="0"/>
              <w:spacing w:before="0" w:beforeAutospacing="1" w:after="0" w:afterAutospacing="1"/>
              <w:ind w:left="0" w:right="0"/>
              <w:jc w:val="center"/>
              <w:rPr>
                <w:rFonts w:hint="default" w:ascii="Times New Roman Regular" w:hAnsi="Times New Roman Regular" w:cs="Times New Roman Regular"/>
              </w:rPr>
            </w:pPr>
            <w:r>
              <w:rPr>
                <w:rFonts w:hint="default" w:ascii="Times New Roman Regular" w:hAnsi="Times New Roman Regular" w:cs="Times New Roman Regular"/>
                <w:b/>
                <w:bCs/>
              </w:rPr>
              <w:t>Major Activities</w:t>
            </w:r>
          </w:p>
        </w:tc>
        <w:tc>
          <w:tcPr>
            <w:tcW w:w="1265" w:type="dxa"/>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D8A0415">
            <w:pPr>
              <w:pStyle w:val="8"/>
              <w:keepNext w:val="0"/>
              <w:keepLines w:val="0"/>
              <w:widowControl/>
              <w:suppressLineNumbers w:val="0"/>
              <w:spacing w:before="0" w:beforeAutospacing="1" w:after="0" w:afterAutospacing="1"/>
              <w:ind w:left="0" w:right="0"/>
              <w:jc w:val="center"/>
              <w:rPr>
                <w:rFonts w:hint="default" w:ascii="Times New Roman Regular" w:hAnsi="Times New Roman Regular" w:cs="Times New Roman Regular"/>
              </w:rPr>
            </w:pPr>
            <w:r>
              <w:rPr>
                <w:rFonts w:hint="default" w:ascii="Times New Roman Regular" w:hAnsi="Times New Roman Regular" w:cs="Times New Roman Regular"/>
                <w:b/>
                <w:bCs/>
              </w:rPr>
              <w:t>Timeline</w:t>
            </w:r>
          </w:p>
        </w:tc>
      </w:tr>
      <w:tr w14:paraId="049CADC4">
        <w:tc>
          <w:tcPr>
            <w:tcW w:w="2720" w:type="dxa"/>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742F65D">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Phase 1 – Preparation</w:t>
            </w:r>
          </w:p>
        </w:tc>
        <w:tc>
          <w:tcPr>
            <w:tcW w:w="5015" w:type="dxa"/>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F5C7379">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Community coordination, needs assessment, partner identification, planning, orientation</w:t>
            </w:r>
          </w:p>
        </w:tc>
        <w:tc>
          <w:tcPr>
            <w:tcW w:w="1265" w:type="dxa"/>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5D383A7">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Months 1–2</w:t>
            </w:r>
          </w:p>
        </w:tc>
      </w:tr>
      <w:tr w14:paraId="61190439">
        <w:tc>
          <w:tcPr>
            <w:tcW w:w="2720" w:type="dxa"/>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5BA88BC">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Phase 2 – Capacity Building</w:t>
            </w:r>
          </w:p>
        </w:tc>
        <w:tc>
          <w:tcPr>
            <w:tcW w:w="5015" w:type="dxa"/>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D22B9A6">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Student orientation, community engagement training, health-promotion training, development of IEC materials</w:t>
            </w:r>
          </w:p>
        </w:tc>
        <w:tc>
          <w:tcPr>
            <w:tcW w:w="1265" w:type="dxa"/>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C777572">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Months 2–3</w:t>
            </w:r>
          </w:p>
        </w:tc>
      </w:tr>
      <w:tr w14:paraId="522CBDC5">
        <w:tc>
          <w:tcPr>
            <w:tcW w:w="2720" w:type="dxa"/>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BE6346E">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Phase 3 – Community Engagement</w:t>
            </w:r>
          </w:p>
        </w:tc>
        <w:tc>
          <w:tcPr>
            <w:tcW w:w="5015" w:type="dxa"/>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953E942">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Community immersion, health education, health promotion, basic health assessment, disease-prevention activities</w:t>
            </w:r>
          </w:p>
        </w:tc>
        <w:tc>
          <w:tcPr>
            <w:tcW w:w="1265" w:type="dxa"/>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05E9886">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Months 4–9</w:t>
            </w:r>
          </w:p>
        </w:tc>
      </w:tr>
      <w:tr w14:paraId="5A9DB8D4">
        <w:tc>
          <w:tcPr>
            <w:tcW w:w="2720" w:type="dxa"/>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1C45AD4">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Phase 4 – Reflection and Professional Development</w:t>
            </w:r>
          </w:p>
        </w:tc>
        <w:tc>
          <w:tcPr>
            <w:tcW w:w="5015" w:type="dxa"/>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6DDAAAF">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Student reflection sessions, mentoring, community feedback, professional identity activities</w:t>
            </w:r>
          </w:p>
        </w:tc>
        <w:tc>
          <w:tcPr>
            <w:tcW w:w="1265" w:type="dxa"/>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733572B">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Months 5–10</w:t>
            </w:r>
          </w:p>
        </w:tc>
      </w:tr>
      <w:tr w14:paraId="247FB41D">
        <w:tc>
          <w:tcPr>
            <w:tcW w:w="2720" w:type="dxa"/>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F83B04C">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Phase 5 – Evaluation</w:t>
            </w:r>
          </w:p>
        </w:tc>
        <w:tc>
          <w:tcPr>
            <w:tcW w:w="5015" w:type="dxa"/>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8B74E46">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Assessment of community participation, student learning, and program outcomes</w:t>
            </w:r>
          </w:p>
        </w:tc>
        <w:tc>
          <w:tcPr>
            <w:tcW w:w="1265" w:type="dxa"/>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3C87A5D">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Months 10–11</w:t>
            </w:r>
          </w:p>
        </w:tc>
      </w:tr>
      <w:tr w14:paraId="7219E487">
        <w:tc>
          <w:tcPr>
            <w:tcW w:w="2720" w:type="dxa"/>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44FEA34">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Phase 6 – Sustainability and Dissemination</w:t>
            </w:r>
          </w:p>
        </w:tc>
        <w:tc>
          <w:tcPr>
            <w:tcW w:w="5015" w:type="dxa"/>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821973C">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Presentation of accomplishments, documentation, stakeholder meeting, development of sustainability plan</w:t>
            </w:r>
          </w:p>
        </w:tc>
        <w:tc>
          <w:tcPr>
            <w:tcW w:w="1265" w:type="dxa"/>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19BEB27">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Month 12</w:t>
            </w:r>
          </w:p>
        </w:tc>
      </w:tr>
    </w:tbl>
    <w:p w14:paraId="005024E8">
      <w:pPr>
        <w:pStyle w:val="2"/>
        <w:keepNext w:val="0"/>
        <w:keepLines w:val="0"/>
        <w:widowControl/>
        <w:suppressLineNumbers w:val="0"/>
        <w:rPr>
          <w:rFonts w:hint="default" w:ascii="Times New Roman Regular" w:hAnsi="Times New Roman Regular" w:cs="Times New Roman Regular"/>
          <w:b/>
          <w:bCs/>
          <w:sz w:val="28"/>
          <w:szCs w:val="28"/>
        </w:rPr>
      </w:pPr>
    </w:p>
    <w:p w14:paraId="2772F69D">
      <w:pPr>
        <w:pStyle w:val="2"/>
        <w:keepNext w:val="0"/>
        <w:keepLines w:val="0"/>
        <w:widowControl/>
        <w:suppressLineNumbers w:val="0"/>
        <w:rPr>
          <w:rFonts w:hint="default" w:ascii="Times New Roman Regular" w:hAnsi="Times New Roman Regular" w:cs="Times New Roman Regular"/>
          <w:b/>
          <w:bCs/>
          <w:sz w:val="28"/>
          <w:szCs w:val="28"/>
        </w:rPr>
      </w:pPr>
    </w:p>
    <w:p w14:paraId="02C522C6">
      <w:pPr>
        <w:pStyle w:val="2"/>
        <w:keepNext w:val="0"/>
        <w:keepLines w:val="0"/>
        <w:widowControl/>
        <w:suppressLineNumbers w:val="0"/>
        <w:rPr>
          <w:rFonts w:hint="default" w:ascii="Times New Roman Regular" w:hAnsi="Times New Roman Regular" w:cs="Times New Roman Regular"/>
          <w:b/>
          <w:bCs/>
          <w:sz w:val="28"/>
          <w:szCs w:val="28"/>
        </w:rPr>
      </w:pPr>
    </w:p>
    <w:p w14:paraId="0B07C863">
      <w:pPr>
        <w:pStyle w:val="2"/>
        <w:keepNext w:val="0"/>
        <w:keepLines w:val="0"/>
        <w:widowControl/>
        <w:suppressLineNumbers w:val="0"/>
        <w:rPr>
          <w:rFonts w:hint="default" w:ascii="Times New Roman Regular" w:hAnsi="Times New Roman Regular" w:cs="Times New Roman Regular"/>
          <w:b/>
          <w:bCs/>
          <w:sz w:val="28"/>
          <w:szCs w:val="28"/>
        </w:rPr>
      </w:pPr>
    </w:p>
    <w:p w14:paraId="3F8C8046">
      <w:pPr>
        <w:pStyle w:val="2"/>
        <w:keepNext w:val="0"/>
        <w:keepLines w:val="0"/>
        <w:widowControl/>
        <w:suppressLineNumbers w:val="0"/>
        <w:rPr>
          <w:rFonts w:hint="default" w:ascii="Times New Roman Regular" w:hAnsi="Times New Roman Regular" w:cs="Times New Roman Regular"/>
          <w:b/>
          <w:bCs/>
          <w:sz w:val="28"/>
          <w:szCs w:val="28"/>
        </w:rPr>
      </w:pPr>
    </w:p>
    <w:p w14:paraId="0AA4505E">
      <w:pPr>
        <w:pStyle w:val="2"/>
        <w:keepNext w:val="0"/>
        <w:keepLines w:val="0"/>
        <w:widowControl/>
        <w:suppressLineNumbers w:val="0"/>
        <w:rPr>
          <w:rFonts w:hint="default" w:ascii="Times New Roman Regular" w:hAnsi="Times New Roman Regular" w:cs="Times New Roman Regular"/>
          <w:sz w:val="28"/>
          <w:szCs w:val="28"/>
        </w:rPr>
      </w:pPr>
      <w:r>
        <w:rPr>
          <w:rFonts w:hint="default" w:ascii="Times New Roman Regular" w:hAnsi="Times New Roman Regular" w:cs="Times New Roman Regular"/>
          <w:b/>
          <w:bCs/>
          <w:sz w:val="28"/>
          <w:szCs w:val="28"/>
        </w:rPr>
        <w:t>Major Extension Activities</w:t>
      </w:r>
    </w:p>
    <w:tbl>
      <w:tblPr>
        <w:tblW w:w="5000" w:type="pct"/>
        <w:tblInd w:w="0" w:type="dxa"/>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shd w:val="clear"/>
        <w:tblLayout w:type="autofit"/>
        <w:tblCellMar>
          <w:top w:w="120" w:type="dxa"/>
          <w:left w:w="120" w:type="dxa"/>
          <w:bottom w:w="120" w:type="dxa"/>
          <w:right w:w="120" w:type="dxa"/>
        </w:tblCellMar>
      </w:tblPr>
      <w:tblGrid>
        <w:gridCol w:w="2637"/>
        <w:gridCol w:w="4468"/>
        <w:gridCol w:w="1895"/>
      </w:tblGrid>
      <w:tr w14:paraId="213D3E63">
        <w:trPr>
          <w:tblHeader/>
        </w:trPr>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C461DC0">
            <w:pPr>
              <w:pStyle w:val="8"/>
              <w:keepNext w:val="0"/>
              <w:keepLines w:val="0"/>
              <w:widowControl/>
              <w:suppressLineNumbers w:val="0"/>
              <w:spacing w:before="0" w:beforeAutospacing="1" w:after="0" w:afterAutospacing="1"/>
              <w:ind w:left="0" w:right="0"/>
              <w:jc w:val="center"/>
              <w:rPr>
                <w:rFonts w:hint="default" w:ascii="Times New Roman Regular" w:hAnsi="Times New Roman Regular" w:cs="Times New Roman Regular"/>
              </w:rPr>
            </w:pPr>
            <w:r>
              <w:rPr>
                <w:rFonts w:hint="default" w:ascii="Times New Roman Regular" w:hAnsi="Times New Roman Regular" w:cs="Times New Roman Regular"/>
                <w:b/>
                <w:bCs/>
              </w:rPr>
              <w:t>Activity</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BBF59B1">
            <w:pPr>
              <w:pStyle w:val="8"/>
              <w:keepNext w:val="0"/>
              <w:keepLines w:val="0"/>
              <w:widowControl/>
              <w:suppressLineNumbers w:val="0"/>
              <w:spacing w:before="0" w:beforeAutospacing="1" w:after="0" w:afterAutospacing="1"/>
              <w:ind w:left="0" w:right="0"/>
              <w:jc w:val="center"/>
              <w:rPr>
                <w:rFonts w:hint="default" w:ascii="Times New Roman Regular" w:hAnsi="Times New Roman Regular" w:cs="Times New Roman Regular"/>
              </w:rPr>
            </w:pPr>
            <w:r>
              <w:rPr>
                <w:rFonts w:hint="default" w:ascii="Times New Roman Regular" w:hAnsi="Times New Roman Regular" w:cs="Times New Roman Regular"/>
                <w:b/>
                <w:bCs/>
              </w:rPr>
              <w:t>Description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616EBDB">
            <w:pPr>
              <w:pStyle w:val="8"/>
              <w:keepNext w:val="0"/>
              <w:keepLines w:val="0"/>
              <w:widowControl/>
              <w:suppressLineNumbers w:val="0"/>
              <w:spacing w:before="0" w:beforeAutospacing="1" w:after="0" w:afterAutospacing="1"/>
              <w:ind w:left="0" w:right="0"/>
              <w:jc w:val="center"/>
              <w:rPr>
                <w:rFonts w:hint="default" w:ascii="Times New Roman Regular" w:hAnsi="Times New Roman Regular" w:cs="Times New Roman Regular"/>
              </w:rPr>
            </w:pPr>
            <w:r>
              <w:rPr>
                <w:rFonts w:hint="default" w:ascii="Times New Roman Regular" w:hAnsi="Times New Roman Regular" w:cs="Times New Roman Regular"/>
                <w:b/>
                <w:bCs/>
              </w:rPr>
              <w:t>Expected Output</w:t>
            </w:r>
          </w:p>
        </w:tc>
      </w:tr>
      <w:tr w14:paraId="4F8970D2">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8D64D7C">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Community Health Needs Assessment</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1FC019B">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Identify priority health concerns through coordination with LGU/RHU/BHWs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A11A97E">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Community health-needs profile</w:t>
            </w:r>
          </w:p>
        </w:tc>
      </w:tr>
      <w:tr w14:paraId="75CFB406">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2EB9784">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Student Community Engagement Orientation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464E3CC">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Prepare students for ethical, respectful, and culturally sensitive community participation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41C8F6C">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Trained student participants</w:t>
            </w:r>
          </w:p>
        </w:tc>
      </w:tr>
      <w:tr w14:paraId="4B08392D">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692EFC6">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Health Education Sessions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3C5BD44">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Conduct community-based teaching on priority health concerns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610FFB5">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Health education sessions</w:t>
            </w:r>
          </w:p>
        </w:tc>
      </w:tr>
      <w:tr w14:paraId="5690BAFE">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2EBE7FA">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Disease Prevention Campaigns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585D0B6">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Conduct activities focused on prevention and healthy behaviors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8304B51">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Community prevention activities</w:t>
            </w:r>
          </w:p>
        </w:tc>
      </w:tr>
      <w:tr w14:paraId="0EE59617">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11E6FF5">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Basic Health Screening/Assessment</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C9270C0">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Appropriate screening and basic health assessment under professional supervision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CBF6882">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Screening records/referrals</w:t>
            </w:r>
          </w:p>
        </w:tc>
      </w:tr>
      <w:tr w14:paraId="04EC87C0">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F86185D">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Health Promotion Activities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16DB790">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Promote healthy lifestyle, nutrition, physical activity, hygiene, and wellness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F49C88C">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Community wellness activities</w:t>
            </w:r>
          </w:p>
        </w:tc>
      </w:tr>
      <w:tr w14:paraId="760E4F50">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161E96E">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IEC Development</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7E4AA1E">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Develop culturally appropriate information, education, and communication materials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9920309">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IEC materials</w:t>
            </w:r>
          </w:p>
        </w:tc>
      </w:tr>
      <w:tr w14:paraId="026DDB73">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97647A6">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Community Immersion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7C4DFC5">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Students participate in supervised community activities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13A7117">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Student-community engagement</w:t>
            </w:r>
          </w:p>
        </w:tc>
      </w:tr>
      <w:tr w14:paraId="1710C665">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B5CA795">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Reflection Sessions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B33FCE5">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Students reflect on experiences and professional development</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B5B329F">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Reflection journals/reports</w:t>
            </w:r>
          </w:p>
        </w:tc>
      </w:tr>
      <w:tr w14:paraId="6E9608A5">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E847150">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Community Feedback</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7C4ADD1">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Obtain feedback from beneficiaries and partner agencies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68E198C">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Stakeholder feedback</w:t>
            </w:r>
          </w:p>
        </w:tc>
      </w:tr>
      <w:tr w14:paraId="585A7063">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8F32644">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Program Evaluation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ED5B30F">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Assess outputs, participation, learning, and perceived community benefits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CDED563">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Evaluation report</w:t>
            </w:r>
          </w:p>
        </w:tc>
      </w:tr>
      <w:tr w14:paraId="475BE377">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565FEE3">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Dissemination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A8A9EBD">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Present accomplishments and lessons learned</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257DB11">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Program documentation/report</w:t>
            </w:r>
          </w:p>
        </w:tc>
      </w:tr>
    </w:tbl>
    <w:p w14:paraId="14F2BC2A">
      <w:pPr>
        <w:pStyle w:val="2"/>
        <w:keepNext w:val="0"/>
        <w:keepLines w:val="0"/>
        <w:widowControl/>
        <w:suppressLineNumbers w:val="0"/>
        <w:jc w:val="both"/>
        <w:rPr>
          <w:rFonts w:hint="default" w:ascii="Times New Roman Regular" w:hAnsi="Times New Roman Regular" w:cs="Times New Roman Regular"/>
          <w:b/>
          <w:bCs/>
          <w:sz w:val="24"/>
          <w:szCs w:val="24"/>
        </w:rPr>
      </w:pPr>
    </w:p>
    <w:p w14:paraId="4BDC6C4D">
      <w:pPr>
        <w:pStyle w:val="2"/>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7. FINANCIAL REQUIREMENTS</w:t>
      </w:r>
    </w:p>
    <w:p w14:paraId="2A9197CD">
      <w:pPr>
        <w:pStyle w:val="4"/>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 xml:space="preserve">Proposed Budget: </w:t>
      </w:r>
    </w:p>
    <w:p w14:paraId="7F44381E">
      <w:pPr>
        <w:pStyle w:val="4"/>
        <w:keepNext w:val="0"/>
        <w:keepLines w:val="0"/>
        <w:widowControl/>
        <w:suppressLineNumbers w:val="0"/>
        <w:jc w:val="both"/>
        <w:rPr>
          <w:rFonts w:hint="default" w:ascii="Times New Roman Regular" w:hAnsi="Times New Roman Regular" w:cs="Times New Roman Regular"/>
          <w:b/>
          <w:bCs/>
          <w:sz w:val="24"/>
          <w:szCs w:val="24"/>
        </w:rPr>
      </w:pPr>
      <w:r>
        <w:rPr>
          <w:rFonts w:hint="default" w:ascii="Times New Roman Regular" w:hAnsi="Times New Roman Regular" w:cs="Times New Roman Regular"/>
          <w:b/>
          <w:bCs/>
          <w:sz w:val="24"/>
          <w:szCs w:val="24"/>
        </w:rPr>
        <w:t>₱</w:t>
      </w:r>
      <w:r>
        <w:rPr>
          <w:rFonts w:hint="default" w:ascii="Times New Roman Regular" w:hAnsi="Times New Roman Regular" w:cs="Times New Roman Regular"/>
          <w:b/>
          <w:bCs/>
          <w:sz w:val="24"/>
          <w:szCs w:val="24"/>
          <w:lang w:val="en-US"/>
        </w:rPr>
        <w:t>150</w:t>
      </w:r>
      <w:r>
        <w:rPr>
          <w:rFonts w:hint="default" w:ascii="Times New Roman Regular" w:hAnsi="Times New Roman Regular" w:cs="Times New Roman Regular"/>
          <w:b/>
          <w:bCs/>
          <w:sz w:val="24"/>
          <w:szCs w:val="24"/>
        </w:rPr>
        <w:t>,000.00</w:t>
      </w:r>
    </w:p>
    <w:tbl>
      <w:tblPr>
        <w:tblW w:w="5000" w:type="pct"/>
        <w:tblInd w:w="0" w:type="dxa"/>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shd w:val="clear"/>
        <w:tblLayout w:type="autofit"/>
        <w:tblCellMar>
          <w:top w:w="120" w:type="dxa"/>
          <w:left w:w="120" w:type="dxa"/>
          <w:bottom w:w="120" w:type="dxa"/>
          <w:right w:w="120" w:type="dxa"/>
        </w:tblCellMar>
      </w:tblPr>
      <w:tblGrid>
        <w:gridCol w:w="6060"/>
        <w:gridCol w:w="2940"/>
      </w:tblGrid>
      <w:tr w14:paraId="795245E2">
        <w:trPr>
          <w:tblHeader/>
        </w:trPr>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7D1EC0F">
            <w:pPr>
              <w:pStyle w:val="8"/>
              <w:keepNext w:val="0"/>
              <w:keepLines w:val="0"/>
              <w:widowControl/>
              <w:suppressLineNumbers w:val="0"/>
              <w:spacing w:before="0" w:beforeAutospacing="1" w:after="0" w:afterAutospacing="1"/>
              <w:ind w:left="0" w:right="0"/>
              <w:jc w:val="center"/>
              <w:rPr>
                <w:rFonts w:hint="default" w:ascii="Times New Roman Regular" w:hAnsi="Times New Roman Regular" w:cs="Times New Roman Regular"/>
              </w:rPr>
            </w:pPr>
            <w:r>
              <w:rPr>
                <w:rFonts w:hint="default" w:ascii="Times New Roman Regular" w:hAnsi="Times New Roman Regular" w:cs="Times New Roman Regular"/>
                <w:b/>
                <w:bCs/>
              </w:rPr>
              <w:t>Budget Item</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3218B57">
            <w:pPr>
              <w:pStyle w:val="8"/>
              <w:keepNext w:val="0"/>
              <w:keepLines w:val="0"/>
              <w:widowControl/>
              <w:suppressLineNumbers w:val="0"/>
              <w:spacing w:before="0" w:beforeAutospacing="1" w:after="0" w:afterAutospacing="1"/>
              <w:ind w:left="0" w:right="0"/>
              <w:jc w:val="center"/>
              <w:rPr>
                <w:rFonts w:hint="default" w:ascii="Times New Roman Regular" w:hAnsi="Times New Roman Regular" w:cs="Times New Roman Regular"/>
              </w:rPr>
            </w:pPr>
            <w:r>
              <w:rPr>
                <w:rFonts w:hint="default" w:ascii="Times New Roman Regular" w:hAnsi="Times New Roman Regular" w:cs="Times New Roman Regular"/>
                <w:b/>
                <w:bCs/>
              </w:rPr>
              <w:t>Proposed Amount</w:t>
            </w:r>
          </w:p>
        </w:tc>
      </w:tr>
      <w:tr w14:paraId="6BE7C432">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789C0C1">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Training/Orientation and Capacity Building</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FFB5E34">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₱15,000</w:t>
            </w:r>
          </w:p>
        </w:tc>
      </w:tr>
      <w:tr w14:paraId="00D0F519">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C2735EC">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IEC Materials and Printing</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B47E7DF">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₱20,000</w:t>
            </w:r>
          </w:p>
        </w:tc>
      </w:tr>
      <w:tr w14:paraId="2361501E">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984F1C0">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Community Health Promotion Supplies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919349D">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₱25,000</w:t>
            </w:r>
          </w:p>
        </w:tc>
      </w:tr>
      <w:tr w14:paraId="65B31F0B">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D508091">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Health Screening/Assessment Supplies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AC51E60">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₱20,000</w:t>
            </w:r>
          </w:p>
        </w:tc>
      </w:tr>
      <w:tr w14:paraId="68D181FB">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099D608">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Transportation/Community Visits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3DF50D0">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₱25,000</w:t>
            </w:r>
          </w:p>
        </w:tc>
      </w:tr>
      <w:tr w14:paraId="69A49E0B">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0364CDE">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Meals/Snacks during Extension Activities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6579F08">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₱15,000</w:t>
            </w:r>
          </w:p>
        </w:tc>
      </w:tr>
      <w:tr w14:paraId="5BE1137B">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761FA51">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Communication/Coordination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9AC44A1">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₱5,000</w:t>
            </w:r>
          </w:p>
        </w:tc>
      </w:tr>
      <w:tr w14:paraId="4895B592">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7C4C983">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Documentation and Audio-Visual Materials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8DD8410">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₱10,000</w:t>
            </w:r>
          </w:p>
        </w:tc>
      </w:tr>
      <w:tr w14:paraId="3B591AB2">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C1AC9CC">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Monitoring and Evaluation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C6B356F">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₱5,000</w:t>
            </w:r>
          </w:p>
        </w:tc>
      </w:tr>
      <w:tr w14:paraId="34CC77B6">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479419D">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Contingency/Miscellaneous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33E2E9B">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₱10,000</w:t>
            </w:r>
          </w:p>
        </w:tc>
      </w:tr>
      <w:tr w14:paraId="0D327449">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59F411D">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TOTAL</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F9D654E">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₱150,000</w:t>
            </w:r>
          </w:p>
        </w:tc>
      </w:tr>
    </w:tbl>
    <w:p w14:paraId="387159D3">
      <w:pPr>
        <w:jc w:val="both"/>
        <w:rPr>
          <w:rFonts w:hint="default" w:ascii="Times New Roman Regular" w:hAnsi="Times New Roman Regular" w:cs="Times New Roman Regular"/>
          <w:b/>
          <w:bCs/>
          <w:color w:val="auto"/>
          <w:sz w:val="24"/>
          <w:szCs w:val="24"/>
        </w:rPr>
      </w:pPr>
    </w:p>
    <w:p w14:paraId="7A3F5E13">
      <w:pPr>
        <w:pStyle w:val="2"/>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8. IMPACT STATEMENT</w:t>
      </w:r>
    </w:p>
    <w:p w14:paraId="219B39A1">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rPr>
      </w:pPr>
      <w:r>
        <w:rPr>
          <w:rFonts w:hint="default" w:ascii="Times New Roman Regular" w:hAnsi="Times New Roman Regular" w:cs="Times New Roman Regular"/>
        </w:rPr>
        <w:t>The NURTURE-COM program is expected to contribute to improved community awareness and participation in health promotion and disease prevention while strengthening the capacity of nursing students to provide culturally sensitive, community-oriented, and people-centered nursing care.</w:t>
      </w:r>
    </w:p>
    <w:p w14:paraId="5DB73ED9">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rPr>
      </w:pPr>
      <w:r>
        <w:rPr>
          <w:rFonts w:hint="default" w:ascii="Times New Roman Regular" w:hAnsi="Times New Roman Regular" w:cs="Times New Roman Regular"/>
        </w:rPr>
        <w:t xml:space="preserve">For </w:t>
      </w:r>
      <w:r>
        <w:rPr>
          <w:rFonts w:hint="default" w:ascii="Times New Roman Regular" w:hAnsi="Times New Roman Regular" w:cs="Times New Roman Regular"/>
          <w:b/>
          <w:bCs/>
        </w:rPr>
        <w:t>community beneficiaries</w:t>
      </w:r>
      <w:r>
        <w:rPr>
          <w:rFonts w:hint="default" w:ascii="Times New Roman Regular" w:hAnsi="Times New Roman Regular" w:cs="Times New Roman Regular"/>
        </w:rPr>
        <w:t>, the program is expected to improve access to relevant health information, promote preventive health behaviors, facilitate appropriate referral to health services, and encourage active participation in maintaining community health.</w:t>
      </w:r>
    </w:p>
    <w:p w14:paraId="6681DCBD">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rPr>
      </w:pPr>
      <w:r>
        <w:rPr>
          <w:rFonts w:hint="default" w:ascii="Times New Roman Regular" w:hAnsi="Times New Roman Regular" w:cs="Times New Roman Regular"/>
        </w:rPr>
        <w:t xml:space="preserve">For </w:t>
      </w:r>
      <w:r>
        <w:rPr>
          <w:rFonts w:hint="default" w:ascii="Times New Roman Regular" w:hAnsi="Times New Roman Regular" w:cs="Times New Roman Regular"/>
          <w:b/>
          <w:bCs/>
        </w:rPr>
        <w:t>nursing students</w:t>
      </w:r>
      <w:r>
        <w:rPr>
          <w:rFonts w:hint="default" w:ascii="Times New Roman Regular" w:hAnsi="Times New Roman Regular" w:cs="Times New Roman Regular"/>
        </w:rPr>
        <w:t>, the program is expected to strengthen communication, leadership, teamwork, cultural sensitivity, community assessment, health education, and professional responsibility. Through meaningful interaction with individuals, families, and communities, students may develop a stronger understanding of their roles and responsibilities as future professional nurses.</w:t>
      </w:r>
    </w:p>
    <w:p w14:paraId="24C4F8EF">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rPr>
        <w:t xml:space="preserve">For </w:t>
      </w:r>
      <w:r>
        <w:rPr>
          <w:rFonts w:hint="default" w:ascii="Times New Roman Regular" w:hAnsi="Times New Roman Regular" w:cs="Times New Roman Regular"/>
          <w:b/>
          <w:bCs/>
        </w:rPr>
        <w:t>JHCSC and partner agencies</w:t>
      </w:r>
      <w:r>
        <w:rPr>
          <w:rFonts w:hint="default" w:ascii="Times New Roman Regular" w:hAnsi="Times New Roman Regular" w:cs="Times New Roman Regular"/>
        </w:rPr>
        <w:t>, the program may strengthen university-community partnerships and provide a sustainable framework for integrating nursing education, RLE, research, and extension services.</w:t>
      </w:r>
    </w:p>
    <w:p w14:paraId="1BF16DBC">
      <w:pPr>
        <w:pStyle w:val="2"/>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9. PROGRAM SUMMARY</w:t>
      </w:r>
    </w:p>
    <w:p w14:paraId="52C243CB">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rPr>
      </w:pPr>
      <w:r>
        <w:rPr>
          <w:rFonts w:hint="default" w:ascii="Times New Roman Regular" w:hAnsi="Times New Roman Regular" w:cs="Times New Roman Regular"/>
          <w:b/>
          <w:bCs/>
        </w:rPr>
        <w:t>NURTURE-COM</w:t>
      </w:r>
      <w:r>
        <w:rPr>
          <w:rFonts w:hint="default" w:ascii="Times New Roman Regular" w:hAnsi="Times New Roman Regular" w:cs="Times New Roman Regular"/>
        </w:rPr>
        <w:t xml:space="preserve"> is a 12-month community extension program designed to strengthen the partnership between nursing students, the nursing program, and local communities through meaningful community engagement and health-promotion activities.</w:t>
      </w:r>
    </w:p>
    <w:p w14:paraId="760E7C9B">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rPr>
      </w:pPr>
      <w:r>
        <w:rPr>
          <w:rFonts w:hint="default" w:ascii="Times New Roman Regular" w:hAnsi="Times New Roman Regular" w:cs="Times New Roman Regular"/>
        </w:rPr>
        <w:t xml:space="preserve">The program will provide nursing students with opportunities to apply their classroom and RLE learning in actual community settings. Activities may include </w:t>
      </w:r>
      <w:r>
        <w:rPr>
          <w:rFonts w:hint="default" w:ascii="Times New Roman Regular" w:hAnsi="Times New Roman Regular" w:cs="Times New Roman Regular"/>
          <w:b/>
          <w:bCs/>
        </w:rPr>
        <w:t>community health education, disease-prevention campaigns, basic health assessment, health-promotion sessions, wellness activities, health information dissemination, and referral/linkage to appropriate health services</w:t>
      </w:r>
      <w:r>
        <w:rPr>
          <w:rFonts w:hint="default" w:ascii="Times New Roman Regular" w:hAnsi="Times New Roman Regular" w:cs="Times New Roman Regular"/>
        </w:rPr>
        <w:t>.</w:t>
      </w:r>
    </w:p>
    <w:p w14:paraId="53CE86B8">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rPr>
      </w:pPr>
      <w:r>
        <w:rPr>
          <w:rFonts w:hint="default" w:ascii="Times New Roman Regular" w:hAnsi="Times New Roman Regular" w:cs="Times New Roman Regular"/>
        </w:rPr>
        <w:t xml:space="preserve">A major component of the program is </w:t>
      </w:r>
      <w:r>
        <w:rPr>
          <w:rFonts w:hint="default" w:ascii="Times New Roman Regular" w:hAnsi="Times New Roman Regular" w:cs="Times New Roman Regular"/>
          <w:b/>
          <w:bCs/>
        </w:rPr>
        <w:t>reflective learning</w:t>
      </w:r>
      <w:r>
        <w:rPr>
          <w:rFonts w:hint="default" w:ascii="Times New Roman Regular" w:hAnsi="Times New Roman Regular" w:cs="Times New Roman Regular"/>
        </w:rPr>
        <w:t>, where students document and discuss their experiences, challenges, interactions, and lessons learned from the community. This is directly aligned with the original research proposal’s focus on how community experiences influence students’ understanding of nursing roles, responsibilities, values, and professional identity</w:t>
      </w:r>
    </w:p>
    <w:p w14:paraId="0717A747">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rPr>
      </w:pPr>
      <w:r>
        <w:rPr>
          <w:rFonts w:hint="default" w:ascii="Times New Roman Regular" w:hAnsi="Times New Roman Regular" w:cs="Times New Roman Regular"/>
        </w:rPr>
        <w:t>The program therefore serves a dual purpose:</w:t>
      </w:r>
    </w:p>
    <w:p w14:paraId="3D91D104">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rPr>
      </w:pPr>
      <w:r>
        <w:rPr>
          <w:rFonts w:hint="default" w:ascii="Times New Roman Regular" w:hAnsi="Times New Roman Regular" w:cs="Times New Roman Regular"/>
          <w:b/>
          <w:bCs/>
        </w:rPr>
        <w:t>Community service + student professional development</w:t>
      </w:r>
    </w:p>
    <w:p w14:paraId="3BC63110">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rPr>
      </w:pPr>
      <w:r>
        <w:rPr>
          <w:rFonts w:hint="default" w:ascii="Times New Roman Regular" w:hAnsi="Times New Roman Regular" w:cs="Times New Roman Regular"/>
        </w:rPr>
        <w:t>Rather than treating community extension merely as an outreach activity, NURTURE-COM will establish a continuing partnership in which communities receive appropriate health-related services while nursing students develop communication skills, cultural sensitivity, leadership, responsibility, and a stronger sense of professional identity.</w:t>
      </w:r>
    </w:p>
    <w:p w14:paraId="6149C561">
      <w:pPr>
        <w:pStyle w:val="2"/>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10. SUSTAINABLE DEVELOPMENT GOALS (SDGs)</w:t>
      </w:r>
    </w:p>
    <w:p w14:paraId="4B1A7C30">
      <w:pPr>
        <w:pStyle w:val="4"/>
        <w:keepNext w:val="0"/>
        <w:keepLines w:val="0"/>
        <w:widowControl/>
        <w:suppressLineNumbers w:val="0"/>
        <w:jc w:val="both"/>
        <w:rPr>
          <w:rFonts w:hint="default" w:ascii="Times New Roman Regular" w:hAnsi="Times New Roman Regular" w:cs="Times New Roman Regular"/>
          <w:b w:val="0"/>
          <w:bCs w:val="0"/>
          <w:sz w:val="24"/>
          <w:szCs w:val="24"/>
        </w:rPr>
      </w:pPr>
      <w:r>
        <w:rPr>
          <w:rFonts w:hint="default" w:ascii="Times New Roman Regular" w:hAnsi="Times New Roman Regular" w:cs="Times New Roman Regular"/>
          <w:b w:val="0"/>
          <w:bCs w:val="0"/>
          <w:sz w:val="24"/>
          <w:szCs w:val="24"/>
        </w:rPr>
        <w:t>SDG 3 – Good Health and Well-being</w:t>
      </w:r>
    </w:p>
    <w:p w14:paraId="04BB30C4">
      <w:pPr>
        <w:pStyle w:val="4"/>
        <w:keepNext w:val="0"/>
        <w:keepLines w:val="0"/>
        <w:widowControl/>
        <w:suppressLineNumbers w:val="0"/>
        <w:jc w:val="both"/>
        <w:rPr>
          <w:rFonts w:hint="default" w:ascii="Times New Roman Regular" w:hAnsi="Times New Roman Regular" w:cs="Times New Roman Regular"/>
          <w:b w:val="0"/>
          <w:bCs w:val="0"/>
          <w:sz w:val="24"/>
          <w:szCs w:val="24"/>
        </w:rPr>
      </w:pPr>
      <w:r>
        <w:rPr>
          <w:rFonts w:hint="default" w:ascii="Times New Roman Regular" w:hAnsi="Times New Roman Regular" w:cs="Times New Roman Regular"/>
          <w:b w:val="0"/>
          <w:bCs w:val="0"/>
          <w:sz w:val="24"/>
          <w:szCs w:val="24"/>
        </w:rPr>
        <w:t>SDG 4 – Quality Education</w:t>
      </w:r>
    </w:p>
    <w:p w14:paraId="5A772BDC">
      <w:pPr>
        <w:pStyle w:val="4"/>
        <w:keepNext w:val="0"/>
        <w:keepLines w:val="0"/>
        <w:widowControl/>
        <w:suppressLineNumbers w:val="0"/>
        <w:jc w:val="both"/>
        <w:rPr>
          <w:rFonts w:hint="default" w:ascii="Times New Roman Regular" w:hAnsi="Times New Roman Regular" w:cs="Times New Roman Regular"/>
          <w:b w:val="0"/>
          <w:bCs w:val="0"/>
          <w:sz w:val="24"/>
          <w:szCs w:val="24"/>
        </w:rPr>
      </w:pPr>
      <w:r>
        <w:rPr>
          <w:rFonts w:hint="default" w:ascii="Times New Roman Regular" w:hAnsi="Times New Roman Regular" w:cs="Times New Roman Regular"/>
          <w:b w:val="0"/>
          <w:bCs w:val="0"/>
          <w:sz w:val="24"/>
          <w:szCs w:val="24"/>
        </w:rPr>
        <w:t>SDG 17 – Partnerships for the Goals</w:t>
      </w:r>
    </w:p>
    <w:p w14:paraId="2F590298">
      <w:pPr>
        <w:pStyle w:val="4"/>
        <w:keepNext w:val="0"/>
        <w:keepLines w:val="0"/>
        <w:widowControl/>
        <w:suppressLineNumbers w:val="0"/>
        <w:jc w:val="both"/>
        <w:rPr>
          <w:rFonts w:hint="default" w:ascii="Times New Roman Regular" w:hAnsi="Times New Roman Regular" w:cs="Times New Roman Regular"/>
          <w:b w:val="0"/>
          <w:bCs w:val="0"/>
          <w:sz w:val="24"/>
          <w:szCs w:val="24"/>
        </w:rPr>
      </w:pPr>
      <w:r>
        <w:rPr>
          <w:rFonts w:hint="default" w:ascii="Times New Roman Regular" w:hAnsi="Times New Roman Regular" w:cs="Times New Roman Regular"/>
          <w:b w:val="0"/>
          <w:bCs w:val="0"/>
          <w:sz w:val="24"/>
          <w:szCs w:val="24"/>
        </w:rPr>
        <w:t>Possible Secondary SDGs</w:t>
      </w:r>
    </w:p>
    <w:p w14:paraId="23169AE0">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b w:val="0"/>
          <w:bCs w:val="0"/>
          <w:sz w:val="24"/>
          <w:szCs w:val="24"/>
        </w:rPr>
      </w:pPr>
      <w:r>
        <w:rPr>
          <w:rFonts w:hint="default" w:ascii="Times New Roman Regular" w:hAnsi="Times New Roman Regular" w:cs="Times New Roman Regular"/>
          <w:b w:val="0"/>
          <w:bCs w:val="0"/>
          <w:sz w:val="24"/>
          <w:szCs w:val="24"/>
        </w:rPr>
        <w:t>SDG 10 – Reduced Inequalities</w:t>
      </w:r>
    </w:p>
    <w:p w14:paraId="36BA7918">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b w:val="0"/>
          <w:bCs w:val="0"/>
          <w:sz w:val="24"/>
          <w:szCs w:val="24"/>
        </w:rPr>
      </w:pPr>
      <w:r>
        <w:rPr>
          <w:rFonts w:hint="default" w:ascii="Times New Roman Regular" w:hAnsi="Times New Roman Regular" w:cs="Times New Roman Regular"/>
          <w:b w:val="0"/>
          <w:bCs w:val="0"/>
          <w:sz w:val="24"/>
          <w:szCs w:val="24"/>
        </w:rPr>
        <w:t>SDG 11 – Sustainable Cities and Communities</w:t>
      </w:r>
      <w:r>
        <w:rPr>
          <w:rFonts w:hint="default" w:ascii="Times New Roman Regular" w:hAnsi="Times New Roman Regular" w:cs="Times New Roman Regular"/>
          <w:b w:val="0"/>
          <w:bCs w:val="0"/>
          <w:sz w:val="24"/>
          <w:szCs w:val="24"/>
        </w:rPr>
        <w:br w:type="textWrapping"/>
      </w:r>
    </w:p>
    <w:p w14:paraId="1F689197">
      <w:pPr>
        <w:pStyle w:val="4"/>
        <w:keepNext w:val="0"/>
        <w:keepLines w:val="0"/>
        <w:widowControl/>
        <w:suppressLineNumbers w:val="0"/>
        <w:jc w:val="both"/>
        <w:rPr>
          <w:rFonts w:hint="default" w:ascii="Times New Roman Regular" w:hAnsi="Times New Roman Regular" w:cs="Times New Roman Regular"/>
          <w:b/>
          <w:bCs/>
          <w:sz w:val="24"/>
          <w:szCs w:val="24"/>
        </w:rPr>
      </w:pPr>
    </w:p>
    <w:p w14:paraId="61B86B5B">
      <w:pPr>
        <w:rPr>
          <w:rFonts w:hint="default" w:ascii="Times New Roman Regular" w:hAnsi="Times New Roman Regular" w:cs="Times New Roman Regular"/>
          <w:b/>
          <w:bCs/>
          <w:sz w:val="24"/>
          <w:szCs w:val="24"/>
        </w:rPr>
      </w:pPr>
    </w:p>
    <w:p w14:paraId="73011951">
      <w:pPr>
        <w:rPr>
          <w:rFonts w:hint="default" w:ascii="Times New Roman Regular" w:hAnsi="Times New Roman Regular" w:cs="Times New Roman Regular"/>
          <w:b/>
          <w:bCs/>
          <w:sz w:val="24"/>
          <w:szCs w:val="24"/>
        </w:rPr>
      </w:pPr>
    </w:p>
    <w:p w14:paraId="1F62AD67">
      <w:pPr>
        <w:rPr>
          <w:rFonts w:hint="default" w:ascii="Times New Roman Regular" w:hAnsi="Times New Roman Regular" w:cs="Times New Roman Regular"/>
          <w:b/>
          <w:bCs/>
          <w:sz w:val="24"/>
          <w:szCs w:val="24"/>
        </w:rPr>
      </w:pPr>
    </w:p>
    <w:p w14:paraId="2D233AD2">
      <w:pPr>
        <w:rPr>
          <w:rFonts w:hint="default" w:ascii="Times New Roman Regular" w:hAnsi="Times New Roman Regular" w:cs="Times New Roman Regular"/>
          <w:b/>
          <w:bCs/>
          <w:sz w:val="24"/>
          <w:szCs w:val="24"/>
        </w:rPr>
      </w:pPr>
    </w:p>
    <w:p w14:paraId="60F3BDED">
      <w:pPr>
        <w:rPr>
          <w:rFonts w:hint="default" w:ascii="Times New Roman Regular" w:hAnsi="Times New Roman Regular" w:cs="Times New Roman Regular"/>
          <w:b/>
          <w:bCs/>
          <w:sz w:val="24"/>
          <w:szCs w:val="24"/>
        </w:rPr>
      </w:pPr>
    </w:p>
    <w:p w14:paraId="4DB7C60A">
      <w:pPr>
        <w:rPr>
          <w:rFonts w:hint="default" w:ascii="Times New Roman Regular" w:hAnsi="Times New Roman Regular" w:cs="Times New Roman Regular"/>
          <w:b/>
          <w:bCs/>
          <w:sz w:val="24"/>
          <w:szCs w:val="24"/>
        </w:rPr>
      </w:pPr>
    </w:p>
    <w:p w14:paraId="20C0145B">
      <w:pPr>
        <w:rPr>
          <w:rFonts w:hint="default" w:ascii="Times New Roman Regular" w:hAnsi="Times New Roman Regular" w:cs="Times New Roman Regular"/>
          <w:b/>
          <w:bCs/>
          <w:sz w:val="24"/>
          <w:szCs w:val="24"/>
        </w:rPr>
      </w:pPr>
    </w:p>
    <w:p w14:paraId="642D2411">
      <w:pPr>
        <w:rPr>
          <w:rFonts w:hint="default" w:ascii="Times New Roman Regular" w:hAnsi="Times New Roman Regular" w:cs="Times New Roman Regular"/>
          <w:b/>
          <w:bCs/>
          <w:sz w:val="24"/>
          <w:szCs w:val="24"/>
        </w:rPr>
      </w:pPr>
    </w:p>
    <w:p w14:paraId="554E42E9">
      <w:pPr>
        <w:rPr>
          <w:rFonts w:hint="default" w:ascii="Times New Roman Regular" w:hAnsi="Times New Roman Regular" w:cs="Times New Roman Regular"/>
          <w:b/>
          <w:bCs/>
          <w:sz w:val="24"/>
          <w:szCs w:val="24"/>
        </w:rPr>
      </w:pPr>
    </w:p>
    <w:p w14:paraId="15852ED9">
      <w:pPr>
        <w:rPr>
          <w:rFonts w:hint="default" w:ascii="Times New Roman Regular" w:hAnsi="Times New Roman Regular" w:cs="Times New Roman Regular"/>
          <w:b/>
          <w:bCs/>
          <w:sz w:val="24"/>
          <w:szCs w:val="24"/>
        </w:rPr>
      </w:pPr>
    </w:p>
    <w:p w14:paraId="0808BDA4">
      <w:pPr>
        <w:rPr>
          <w:rFonts w:hint="default" w:ascii="Times New Roman Regular" w:hAnsi="Times New Roman Regular" w:cs="Times New Roman Regular"/>
          <w:b/>
          <w:bCs/>
          <w:sz w:val="24"/>
          <w:szCs w:val="24"/>
        </w:rPr>
      </w:pPr>
    </w:p>
    <w:p w14:paraId="2D953326">
      <w:pPr>
        <w:rPr>
          <w:rFonts w:hint="default" w:ascii="Times New Roman Regular" w:hAnsi="Times New Roman Regular" w:cs="Times New Roman Regular"/>
          <w:b/>
          <w:bCs/>
          <w:sz w:val="24"/>
          <w:szCs w:val="24"/>
        </w:rPr>
      </w:pPr>
    </w:p>
    <w:p w14:paraId="1F729F4B">
      <w:pPr>
        <w:rPr>
          <w:rFonts w:hint="default" w:ascii="Times New Roman Regular" w:hAnsi="Times New Roman Regular" w:cs="Times New Roman Regular"/>
          <w:b/>
          <w:bCs/>
          <w:sz w:val="24"/>
          <w:szCs w:val="24"/>
        </w:rPr>
      </w:pPr>
    </w:p>
    <w:p w14:paraId="584E02D1">
      <w:pPr>
        <w:rPr>
          <w:rFonts w:hint="default" w:ascii="Times New Roman Regular" w:hAnsi="Times New Roman Regular" w:cs="Times New Roman Regular"/>
          <w:b/>
          <w:bCs/>
          <w:sz w:val="24"/>
          <w:szCs w:val="24"/>
        </w:rPr>
      </w:pPr>
    </w:p>
    <w:p w14:paraId="11C43DE0">
      <w:pPr>
        <w:rPr>
          <w:rFonts w:hint="default" w:ascii="Times New Roman Regular" w:hAnsi="Times New Roman Regular" w:cs="Times New Roman Regular"/>
          <w:b/>
          <w:bCs/>
          <w:sz w:val="24"/>
          <w:szCs w:val="24"/>
        </w:rPr>
      </w:pPr>
    </w:p>
    <w:p w14:paraId="6593805E">
      <w:pPr>
        <w:rPr>
          <w:rFonts w:hint="default" w:ascii="Times New Roman Regular" w:hAnsi="Times New Roman Regular" w:cs="Times New Roman Regular"/>
          <w:b/>
          <w:bCs/>
          <w:sz w:val="24"/>
          <w:szCs w:val="24"/>
        </w:rPr>
      </w:pPr>
    </w:p>
    <w:p w14:paraId="4684BAF9">
      <w:pPr>
        <w:rPr>
          <w:rFonts w:hint="default" w:ascii="Times New Roman Regular" w:hAnsi="Times New Roman Regular" w:cs="Times New Roman Regular"/>
          <w:b/>
          <w:bCs/>
          <w:sz w:val="24"/>
          <w:szCs w:val="24"/>
        </w:rPr>
      </w:pPr>
    </w:p>
    <w:p w14:paraId="202845FF">
      <w:pPr>
        <w:rPr>
          <w:rFonts w:hint="default" w:ascii="Times New Roman Regular" w:hAnsi="Times New Roman Regular" w:cs="Times New Roman Regular"/>
          <w:b/>
          <w:bCs/>
          <w:sz w:val="24"/>
          <w:szCs w:val="24"/>
        </w:rPr>
      </w:pPr>
    </w:p>
    <w:p w14:paraId="57D40830">
      <w:pPr>
        <w:rPr>
          <w:rFonts w:hint="default" w:ascii="Times New Roman Regular" w:hAnsi="Times New Roman Regular" w:cs="Times New Roman Regular"/>
          <w:b/>
          <w:bCs/>
          <w:sz w:val="24"/>
          <w:szCs w:val="24"/>
        </w:rPr>
      </w:pPr>
    </w:p>
    <w:p w14:paraId="18D7A480">
      <w:pPr>
        <w:rPr>
          <w:rFonts w:hint="default" w:ascii="Times New Roman Regular" w:hAnsi="Times New Roman Regular" w:cs="Times New Roman Regular"/>
          <w:b/>
          <w:bCs/>
          <w:sz w:val="24"/>
          <w:szCs w:val="24"/>
        </w:rPr>
      </w:pPr>
    </w:p>
    <w:p w14:paraId="04AF9F08">
      <w:pPr>
        <w:rPr>
          <w:rFonts w:hint="default" w:ascii="Times New Roman Regular" w:hAnsi="Times New Roman Regular" w:cs="Times New Roman Regular"/>
          <w:b/>
          <w:bCs/>
          <w:sz w:val="24"/>
          <w:szCs w:val="24"/>
        </w:rPr>
      </w:pPr>
    </w:p>
    <w:p w14:paraId="5ACD5194">
      <w:pPr>
        <w:rPr>
          <w:rFonts w:hint="default" w:ascii="Times New Roman Regular" w:hAnsi="Times New Roman Regular" w:cs="Times New Roman Regular"/>
          <w:b/>
          <w:bCs/>
          <w:sz w:val="24"/>
          <w:szCs w:val="24"/>
        </w:rPr>
      </w:pPr>
    </w:p>
    <w:p w14:paraId="63F58327">
      <w:pPr>
        <w:rPr>
          <w:rFonts w:hint="default" w:ascii="Times New Roman Regular" w:hAnsi="Times New Roman Regular" w:cs="Times New Roman Regular"/>
          <w:b/>
          <w:bCs/>
          <w:sz w:val="24"/>
          <w:szCs w:val="24"/>
        </w:rPr>
      </w:pPr>
    </w:p>
    <w:p w14:paraId="5E160EE3">
      <w:pPr>
        <w:rPr>
          <w:rFonts w:hint="default" w:ascii="Times New Roman Regular" w:hAnsi="Times New Roman Regular" w:cs="Times New Roman Regular"/>
          <w:b/>
          <w:bCs/>
          <w:sz w:val="24"/>
          <w:szCs w:val="24"/>
        </w:rPr>
      </w:pPr>
    </w:p>
    <w:p w14:paraId="3C7B9CCA">
      <w:pPr>
        <w:rPr>
          <w:rFonts w:hint="default" w:ascii="Times New Roman Regular" w:hAnsi="Times New Roman Regular" w:cs="Times New Roman Regular"/>
          <w:b/>
          <w:bCs/>
          <w:sz w:val="24"/>
          <w:szCs w:val="24"/>
        </w:rPr>
      </w:pPr>
    </w:p>
    <w:p w14:paraId="5ECE44BF">
      <w:pPr>
        <w:rPr>
          <w:rFonts w:hint="default" w:ascii="Times New Roman Regular" w:hAnsi="Times New Roman Regular" w:cs="Times New Roman Regular"/>
          <w:b/>
          <w:bCs/>
          <w:sz w:val="24"/>
          <w:szCs w:val="24"/>
        </w:rPr>
      </w:pPr>
    </w:p>
    <w:p w14:paraId="1747452F">
      <w:pPr>
        <w:rPr>
          <w:rFonts w:hint="default" w:ascii="Times New Roman Regular" w:hAnsi="Times New Roman Regular" w:cs="Times New Roman Regular"/>
          <w:b/>
          <w:bCs/>
          <w:sz w:val="24"/>
          <w:szCs w:val="24"/>
        </w:rPr>
      </w:pPr>
    </w:p>
    <w:p w14:paraId="3691D63C">
      <w:pPr>
        <w:rPr>
          <w:rFonts w:hint="default" w:ascii="Times New Roman Regular" w:hAnsi="Times New Roman Regular" w:cs="Times New Roman Regular"/>
          <w:b/>
          <w:bCs/>
          <w:sz w:val="24"/>
          <w:szCs w:val="24"/>
        </w:rPr>
      </w:pPr>
    </w:p>
    <w:p w14:paraId="4D1C14E3">
      <w:pPr>
        <w:rPr>
          <w:rFonts w:hint="default" w:ascii="Times New Roman Regular" w:hAnsi="Times New Roman Regular" w:cs="Times New Roman Regular"/>
          <w:b/>
          <w:bCs/>
          <w:sz w:val="24"/>
          <w:szCs w:val="24"/>
        </w:rPr>
      </w:pPr>
    </w:p>
    <w:p w14:paraId="45ADE2BC">
      <w:pPr>
        <w:rPr>
          <w:rFonts w:hint="default" w:ascii="Times New Roman Regular" w:hAnsi="Times New Roman Regular" w:cs="Times New Roman Regular"/>
          <w:b/>
          <w:bCs/>
          <w:sz w:val="24"/>
          <w:szCs w:val="24"/>
        </w:rPr>
      </w:pPr>
    </w:p>
    <w:p w14:paraId="54EF36AD">
      <w:pPr>
        <w:rPr>
          <w:rFonts w:hint="default" w:ascii="Times New Roman Regular" w:hAnsi="Times New Roman Regular" w:cs="Times New Roman Regular"/>
          <w:b/>
          <w:bCs/>
          <w:sz w:val="24"/>
          <w:szCs w:val="24"/>
        </w:rPr>
      </w:pPr>
    </w:p>
    <w:p w14:paraId="3A6478A2">
      <w:pPr>
        <w:rPr>
          <w:rFonts w:hint="default" w:ascii="Times New Roman Regular" w:hAnsi="Times New Roman Regular" w:cs="Times New Roman Regular"/>
          <w:b/>
          <w:bCs/>
          <w:sz w:val="24"/>
          <w:szCs w:val="24"/>
        </w:rPr>
      </w:pPr>
    </w:p>
    <w:p w14:paraId="306521E5">
      <w:pPr>
        <w:rPr>
          <w:rFonts w:hint="default" w:ascii="Times New Roman Regular" w:hAnsi="Times New Roman Regular" w:cs="Times New Roman Regular"/>
          <w:b/>
          <w:bCs/>
          <w:sz w:val="24"/>
          <w:szCs w:val="24"/>
        </w:rPr>
      </w:pPr>
    </w:p>
    <w:p w14:paraId="69C79458">
      <w:pPr>
        <w:pStyle w:val="4"/>
        <w:keepNext w:val="0"/>
        <w:keepLines w:val="0"/>
        <w:widowControl/>
        <w:suppressLineNumbers w:val="0"/>
        <w:jc w:val="both"/>
        <w:rPr>
          <w:rFonts w:hint="default" w:ascii="Times New Roman Regular" w:hAnsi="Times New Roman Regular" w:cs="Times New Roman Regular"/>
          <w:b/>
          <w:bCs/>
          <w:sz w:val="24"/>
          <w:szCs w:val="24"/>
          <w:lang w:val="en-US"/>
        </w:rPr>
      </w:pPr>
      <w:r>
        <w:rPr>
          <w:rFonts w:hint="default" w:ascii="Times New Roman Regular" w:hAnsi="Times New Roman Regular" w:cs="Times New Roman Regular"/>
          <w:b/>
          <w:bCs/>
          <w:sz w:val="24"/>
          <w:szCs w:val="24"/>
          <w:lang w:val="en-US"/>
        </w:rPr>
        <w:t>Part II</w:t>
      </w:r>
    </w:p>
    <w:p w14:paraId="1E7343D6">
      <w:pPr>
        <w:pStyle w:val="4"/>
        <w:keepNext w:val="0"/>
        <w:keepLines w:val="0"/>
        <w:widowControl/>
        <w:numPr>
          <w:ilvl w:val="0"/>
          <w:numId w:val="4"/>
        </w:numPr>
        <w:suppressLineNumbers w:val="0"/>
        <w:spacing w:line="27" w:lineRule="atLeast"/>
        <w:jc w:val="both"/>
        <w:rPr>
          <w:rFonts w:hint="default" w:ascii="Times New Roman Regular" w:hAnsi="Times New Roman Regular" w:cs="Times New Roman Regular"/>
          <w:color w:val="000000"/>
          <w:sz w:val="24"/>
          <w:szCs w:val="24"/>
        </w:rPr>
      </w:pPr>
      <w:r>
        <w:rPr>
          <w:rFonts w:hint="default" w:ascii="Times New Roman Regular" w:hAnsi="Times New Roman Regular" w:cs="Times New Roman Regular"/>
          <w:color w:val="000000"/>
          <w:sz w:val="24"/>
          <w:szCs w:val="24"/>
        </w:rPr>
        <w:t>Background and Justification.</w:t>
      </w:r>
    </w:p>
    <w:p w14:paraId="45A495F2">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rPr>
      </w:pPr>
      <w:r>
        <w:rPr>
          <w:rFonts w:hint="default" w:ascii="Times New Roman Regular" w:hAnsi="Times New Roman Regular" w:cs="Times New Roman Regular"/>
        </w:rPr>
        <w:t>Older adults are more vulnerable to pneumonia due to age-related changes in the respiratory and immune systems, underlying health conditions, reduced mobility, and nutritional concerns. Environmental factors such as cigarette smoke, air pollution, dust, poor ventilation, and overcrowding may further increase respiratory health risks.</w:t>
      </w:r>
    </w:p>
    <w:p w14:paraId="1BCA5712">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rPr>
      </w:pPr>
      <w:r>
        <w:rPr>
          <w:rFonts w:hint="default" w:ascii="Times New Roman Regular" w:hAnsi="Times New Roman Regular" w:cs="Times New Roman Regular"/>
        </w:rPr>
        <w:t xml:space="preserve">The </w:t>
      </w:r>
      <w:r>
        <w:rPr>
          <w:rFonts w:hint="default" w:ascii="Times New Roman Regular" w:hAnsi="Times New Roman Regular" w:cs="Times New Roman Regular"/>
          <w:b/>
          <w:bCs/>
        </w:rPr>
        <w:t>NARS CARE: Preventing Pneumonia for Healthy Older Adults</w:t>
      </w:r>
      <w:r>
        <w:rPr>
          <w:rFonts w:hint="default" w:ascii="Times New Roman Regular" w:hAnsi="Times New Roman Regular" w:cs="Times New Roman Regular"/>
        </w:rPr>
        <w:t xml:space="preserve"> program of the JH Cerilles State College College of Nursing aims to address these concerns through accessible health education on pneumonia prevention, respiratory hygiene, environmental health, healthy aging, early recognition of warning signs, and appropriate health-seeking behavior.</w:t>
      </w:r>
    </w:p>
    <w:p w14:paraId="287B35A2">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rPr>
      </w:pPr>
      <w:r>
        <w:rPr>
          <w:rFonts w:hint="default" w:ascii="Times New Roman Regular" w:hAnsi="Times New Roman Regular" w:cs="Times New Roman Regular"/>
        </w:rPr>
        <w:t>The program also engages families, caregivers, Barangay Health Workers, and community health personnel to strengthen preventive practices and ensure continued health promotion within the community. Through community-based nursing education and collaboration with local stakeholders, NARS CARE seeks to empower older adults and contribute to healthier and more resilient communities in selected urban barangay of Pagadian City.</w:t>
      </w:r>
    </w:p>
    <w:p w14:paraId="51E364A3">
      <w:pPr>
        <w:pStyle w:val="8"/>
        <w:keepNext w:val="0"/>
        <w:keepLines w:val="0"/>
        <w:widowControl/>
        <w:suppressLineNumbers w:val="0"/>
        <w:spacing w:line="27" w:lineRule="atLeast"/>
        <w:jc w:val="both"/>
        <w:rPr>
          <w:rFonts w:hint="default" w:ascii="Times New Roman Regular" w:hAnsi="Times New Roman Regular" w:cs="Times New Roman Regular"/>
          <w:sz w:val="24"/>
          <w:szCs w:val="24"/>
        </w:rPr>
      </w:pPr>
      <w:r>
        <w:rPr>
          <w:rStyle w:val="9"/>
          <w:rFonts w:hint="default" w:ascii="Times New Roman Regular" w:hAnsi="Times New Roman Regular" w:cs="Times New Roman Regular"/>
          <w:color w:val="000000"/>
          <w:sz w:val="24"/>
          <w:szCs w:val="24"/>
        </w:rPr>
        <w:t>A.1 Alignment to Global, National and Institutional Frameworks</w:t>
      </w:r>
    </w:p>
    <w:p w14:paraId="160D01AF">
      <w:pPr>
        <w:jc w:val="both"/>
        <w:rPr>
          <w:rFonts w:hint="default" w:ascii="Times New Roman Regular" w:hAnsi="Times New Roman Regular" w:cs="Times New Roman Regular"/>
          <w:color w:val="000000"/>
          <w:sz w:val="24"/>
          <w:szCs w:val="24"/>
        </w:rPr>
      </w:pPr>
      <w:r>
        <w:rPr>
          <w:rStyle w:val="9"/>
          <w:rFonts w:hint="default" w:ascii="Times New Roman Regular" w:hAnsi="Times New Roman Regular" w:cs="Times New Roman Regular"/>
          <w:color w:val="000000"/>
          <w:sz w:val="24"/>
          <w:szCs w:val="24"/>
        </w:rPr>
        <w:t>A.1.1 S.D.G.</w:t>
      </w:r>
      <w:r>
        <w:rPr>
          <w:rFonts w:hint="default" w:ascii="Times New Roman Regular" w:hAnsi="Times New Roman Regular" w:cs="Times New Roman Regular"/>
          <w:color w:val="000000"/>
          <w:sz w:val="24"/>
          <w:szCs w:val="24"/>
        </w:rPr>
        <w:t xml:space="preserve"> </w:t>
      </w:r>
      <w:r>
        <w:rPr>
          <w:rStyle w:val="7"/>
          <w:rFonts w:hint="default" w:ascii="Times New Roman Regular" w:hAnsi="Times New Roman Regular" w:cs="Times New Roman Regular"/>
          <w:color w:val="000000"/>
          <w:sz w:val="24"/>
          <w:szCs w:val="24"/>
        </w:rPr>
        <w:t>(Sustainable Development Goal)</w:t>
      </w:r>
      <w:r>
        <w:rPr>
          <w:rFonts w:hint="default" w:ascii="Times New Roman Regular" w:hAnsi="Times New Roman Regular" w:cs="Times New Roman Regular"/>
          <w:color w:val="000000"/>
          <w:sz w:val="24"/>
          <w:szCs w:val="24"/>
        </w:rPr>
        <w:br w:type="textWrapping"/>
      </w:r>
    </w:p>
    <w:p w14:paraId="448001C4">
      <w:pPr>
        <w:pStyle w:val="4"/>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SDG 3 – Good Health and Well-being</w:t>
      </w:r>
    </w:p>
    <w:p w14:paraId="033A4D4C">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The program promotes health education, disease prevention, health promotion, and community participation in maintaining health.</w:t>
      </w:r>
    </w:p>
    <w:p w14:paraId="5E3E6C5B">
      <w:pPr>
        <w:pStyle w:val="4"/>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SDG 4 – Quality Education</w:t>
      </w:r>
      <w:bookmarkStart w:id="0" w:name="_GoBack"/>
      <w:bookmarkEnd w:id="0"/>
    </w:p>
    <w:p w14:paraId="5F6ADA1C">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Nursing students gain experiential and community-based learning opportunities that complement classroom and clinical education. The original proposal identifies SDG 4 as a primary SDG because the project focuses on nursing students’ learning and professional identity formation. </w:t>
      </w:r>
    </w:p>
    <w:p w14:paraId="2AF9B198">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proposal- SN unique experience in Extension.docx</w:t>
      </w:r>
    </w:p>
    <w:p w14:paraId="3D62245B">
      <w:pPr>
        <w:pStyle w:val="4"/>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SDG 17 – Partnerships for the Goals</w:t>
      </w:r>
    </w:p>
    <w:p w14:paraId="2D6DA9A6">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The program requires sustained collaboration among JHCSC, the School of Nursing, Extension Services Office, LGUs, RHUs, barangays, BHWs, and other community partners.</w:t>
      </w:r>
    </w:p>
    <w:p w14:paraId="3CC304ED">
      <w:pPr>
        <w:pStyle w:val="4"/>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Possible Secondary SDGs</w:t>
      </w:r>
    </w:p>
    <w:p w14:paraId="7E4D02ED">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SDG 10 – Reduced Inequalities</w:t>
      </w:r>
      <w:r>
        <w:rPr>
          <w:rFonts w:hint="default" w:ascii="Times New Roman Regular" w:hAnsi="Times New Roman Regular" w:cs="Times New Roman Regular"/>
          <w:sz w:val="24"/>
          <w:szCs w:val="24"/>
        </w:rPr>
        <w:br w:type="textWrapping"/>
      </w:r>
      <w:r>
        <w:rPr>
          <w:rFonts w:hint="default" w:ascii="Times New Roman Regular" w:hAnsi="Times New Roman Regular" w:cs="Times New Roman Regular"/>
          <w:sz w:val="24"/>
          <w:szCs w:val="24"/>
        </w:rPr>
        <w:t>Through prioritizing vulnerable and underserved community members.</w:t>
      </w:r>
    </w:p>
    <w:p w14:paraId="476423C2">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rPr>
        <w:t>SDG 11 – Sustainable Cities and Communities</w:t>
      </w:r>
      <w:r>
        <w:rPr>
          <w:rFonts w:hint="default" w:ascii="Times New Roman Regular" w:hAnsi="Times New Roman Regular" w:cs="Times New Roman Regular"/>
          <w:sz w:val="24"/>
          <w:szCs w:val="24"/>
        </w:rPr>
        <w:br w:type="textWrapping"/>
      </w:r>
      <w:r>
        <w:rPr>
          <w:rFonts w:hint="default" w:ascii="Times New Roman Regular" w:hAnsi="Times New Roman Regular" w:cs="Times New Roman Regular"/>
          <w:sz w:val="24"/>
          <w:szCs w:val="24"/>
        </w:rPr>
        <w:t>Through strengthening community participation and local health initiatives.</w:t>
      </w:r>
    </w:p>
    <w:p w14:paraId="6FDB895F">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p>
    <w:p w14:paraId="7E3F08E2">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p>
    <w:p w14:paraId="0C130129">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p>
    <w:p w14:paraId="514AE1BC">
      <w:pPr>
        <w:pStyle w:val="8"/>
        <w:keepNext w:val="0"/>
        <w:keepLines w:val="0"/>
        <w:widowControl/>
        <w:suppressLineNumbers w:val="0"/>
        <w:spacing w:before="0" w:beforeAutospacing="1" w:after="0" w:afterAutospacing="1"/>
        <w:ind w:left="0" w:right="0"/>
        <w:jc w:val="both"/>
        <w:rPr>
          <w:rFonts w:hint="default" w:ascii="Times New Roman Regular" w:hAnsi="Times New Roman Regular" w:cs="Times New Roman Regular"/>
          <w:sz w:val="24"/>
          <w:szCs w:val="24"/>
        </w:rPr>
      </w:pPr>
    </w:p>
    <w:p w14:paraId="456D95B8">
      <w:pPr>
        <w:pStyle w:val="2"/>
        <w:keepNext w:val="0"/>
        <w:keepLines w:val="0"/>
        <w:widowControl/>
        <w:suppressLineNumbers w:val="0"/>
        <w:jc w:val="both"/>
        <w:rPr>
          <w:rFonts w:hint="default" w:ascii="Times New Roman Regular" w:hAnsi="Times New Roman Regular" w:cs="Times New Roman Regular"/>
          <w:sz w:val="24"/>
          <w:szCs w:val="24"/>
        </w:rPr>
      </w:pPr>
      <w:r>
        <w:rPr>
          <w:rFonts w:hint="default" w:ascii="Times New Roman Regular" w:hAnsi="Times New Roman Regular" w:cs="Times New Roman Regular"/>
          <w:b/>
          <w:bCs/>
          <w:sz w:val="24"/>
          <w:szCs w:val="24"/>
          <w:lang w:val="en-US"/>
        </w:rPr>
        <w:t>1</w:t>
      </w:r>
      <w:r>
        <w:rPr>
          <w:rFonts w:hint="default" w:ascii="Times New Roman Regular" w:hAnsi="Times New Roman Regular" w:cs="Times New Roman Regular"/>
          <w:b/>
          <w:bCs/>
          <w:sz w:val="24"/>
          <w:szCs w:val="24"/>
        </w:rPr>
        <w:t>1. SDG ALIGNMENT MATRIX</w:t>
      </w:r>
    </w:p>
    <w:tbl>
      <w:tblPr>
        <w:tblW w:w="5000" w:type="pct"/>
        <w:tblInd w:w="0" w:type="dxa"/>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shd w:val="clear"/>
        <w:tblLayout w:type="autofit"/>
        <w:tblCellMar>
          <w:top w:w="120" w:type="dxa"/>
          <w:left w:w="120" w:type="dxa"/>
          <w:bottom w:w="120" w:type="dxa"/>
          <w:right w:w="120" w:type="dxa"/>
        </w:tblCellMar>
      </w:tblPr>
      <w:tblGrid>
        <w:gridCol w:w="1073"/>
        <w:gridCol w:w="1585"/>
        <w:gridCol w:w="2576"/>
        <w:gridCol w:w="2099"/>
        <w:gridCol w:w="1667"/>
      </w:tblGrid>
      <w:tr w14:paraId="3F083AD5">
        <w:trPr>
          <w:tblHeader/>
        </w:trPr>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538A937">
            <w:pPr>
              <w:pStyle w:val="8"/>
              <w:keepNext w:val="0"/>
              <w:keepLines w:val="0"/>
              <w:widowControl/>
              <w:suppressLineNumbers w:val="0"/>
              <w:spacing w:before="0" w:beforeAutospacing="1" w:after="0" w:afterAutospacing="1"/>
              <w:ind w:left="0" w:right="0"/>
              <w:jc w:val="center"/>
              <w:rPr>
                <w:rFonts w:hint="default" w:ascii="Times New Roman Regular" w:hAnsi="Times New Roman Regular" w:cs="Times New Roman Regular"/>
                <w:sz w:val="20"/>
                <w:szCs w:val="20"/>
              </w:rPr>
            </w:pPr>
            <w:r>
              <w:rPr>
                <w:rFonts w:hint="default" w:ascii="Times New Roman Regular" w:hAnsi="Times New Roman Regular" w:cs="Times New Roman Regular"/>
                <w:b/>
                <w:bCs/>
                <w:sz w:val="20"/>
                <w:szCs w:val="20"/>
              </w:rPr>
              <w:t>Sustainable Development Goal (SDG)</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CCA86C7">
            <w:pPr>
              <w:pStyle w:val="8"/>
              <w:keepNext w:val="0"/>
              <w:keepLines w:val="0"/>
              <w:widowControl/>
              <w:suppressLineNumbers w:val="0"/>
              <w:spacing w:before="0" w:beforeAutospacing="1" w:after="0" w:afterAutospacing="1"/>
              <w:ind w:left="0" w:right="0"/>
              <w:jc w:val="center"/>
              <w:rPr>
                <w:rFonts w:hint="default" w:ascii="Times New Roman Regular" w:hAnsi="Times New Roman Regular" w:cs="Times New Roman Regular"/>
                <w:sz w:val="20"/>
                <w:szCs w:val="20"/>
              </w:rPr>
            </w:pPr>
            <w:r>
              <w:rPr>
                <w:rFonts w:hint="default" w:ascii="Times New Roman Regular" w:hAnsi="Times New Roman Regular" w:cs="Times New Roman Regular"/>
                <w:b/>
                <w:bCs/>
                <w:sz w:val="20"/>
                <w:szCs w:val="20"/>
              </w:rPr>
              <w:t>SDG Target</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34B2AB5">
            <w:pPr>
              <w:pStyle w:val="8"/>
              <w:keepNext w:val="0"/>
              <w:keepLines w:val="0"/>
              <w:widowControl/>
              <w:suppressLineNumbers w:val="0"/>
              <w:spacing w:before="0" w:beforeAutospacing="1" w:after="0" w:afterAutospacing="1"/>
              <w:ind w:left="0" w:right="0"/>
              <w:jc w:val="center"/>
              <w:rPr>
                <w:rFonts w:hint="default" w:ascii="Times New Roman Regular" w:hAnsi="Times New Roman Regular" w:cs="Times New Roman Regular"/>
                <w:sz w:val="20"/>
                <w:szCs w:val="20"/>
              </w:rPr>
            </w:pPr>
            <w:r>
              <w:rPr>
                <w:rFonts w:hint="default" w:ascii="Times New Roman Regular" w:hAnsi="Times New Roman Regular" w:cs="Times New Roman Regular"/>
                <w:b/>
                <w:bCs/>
                <w:sz w:val="20"/>
                <w:szCs w:val="20"/>
              </w:rPr>
              <w:t>Program Objective/Activity</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E5EF391">
            <w:pPr>
              <w:pStyle w:val="8"/>
              <w:keepNext w:val="0"/>
              <w:keepLines w:val="0"/>
              <w:widowControl/>
              <w:suppressLineNumbers w:val="0"/>
              <w:spacing w:before="0" w:beforeAutospacing="1" w:after="0" w:afterAutospacing="1"/>
              <w:ind w:left="0" w:right="0"/>
              <w:jc w:val="center"/>
              <w:rPr>
                <w:rFonts w:hint="default" w:ascii="Times New Roman Regular" w:hAnsi="Times New Roman Regular" w:cs="Times New Roman Regular"/>
                <w:sz w:val="20"/>
                <w:szCs w:val="20"/>
              </w:rPr>
            </w:pPr>
            <w:r>
              <w:rPr>
                <w:rFonts w:hint="default" w:ascii="Times New Roman Regular" w:hAnsi="Times New Roman Regular" w:cs="Times New Roman Regular"/>
                <w:b/>
                <w:bCs/>
                <w:sz w:val="20"/>
                <w:szCs w:val="20"/>
              </w:rPr>
              <w:t>Expected Output/Outcome</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042A0BF">
            <w:pPr>
              <w:pStyle w:val="8"/>
              <w:keepNext w:val="0"/>
              <w:keepLines w:val="0"/>
              <w:widowControl/>
              <w:suppressLineNumbers w:val="0"/>
              <w:spacing w:before="0" w:beforeAutospacing="1" w:after="0" w:afterAutospacing="1"/>
              <w:ind w:left="0" w:right="0"/>
              <w:jc w:val="center"/>
              <w:rPr>
                <w:rFonts w:hint="default" w:ascii="Times New Roman Regular" w:hAnsi="Times New Roman Regular" w:cs="Times New Roman Regular"/>
                <w:sz w:val="20"/>
                <w:szCs w:val="20"/>
              </w:rPr>
            </w:pPr>
            <w:r>
              <w:rPr>
                <w:rFonts w:hint="default" w:ascii="Times New Roman Regular" w:hAnsi="Times New Roman Regular" w:cs="Times New Roman Regular"/>
                <w:b/>
                <w:bCs/>
                <w:sz w:val="20"/>
                <w:szCs w:val="20"/>
              </w:rPr>
              <w:t>Means of Verification</w:t>
            </w:r>
          </w:p>
        </w:tc>
      </w:tr>
      <w:tr w14:paraId="0CF4E5F6">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C79E8BA">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b/>
                <w:bCs/>
                <w:sz w:val="22"/>
                <w:szCs w:val="22"/>
              </w:rPr>
              <w:t>SDG 3 – Good Health and Well-being</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323AD0D">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b/>
                <w:bCs/>
                <w:sz w:val="22"/>
                <w:szCs w:val="22"/>
              </w:rPr>
              <w:t>Target 3.4:</w:t>
            </w:r>
            <w:r>
              <w:rPr>
                <w:rFonts w:hint="default" w:ascii="Times New Roman Regular" w:hAnsi="Times New Roman Regular" w:cs="Times New Roman Regular"/>
                <w:sz w:val="22"/>
                <w:szCs w:val="22"/>
              </w:rPr>
              <w:t xml:space="preserve"> Promote health and well-being through prevention and health promotion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50EDD82">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Conduct community health education, disease-prevention campaigns, wellness activities, and basic health screening</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0778BC9">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Increased community awareness and participation in health promotion and disease-prevention activities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5F347DB">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Attendance sheets, pre/post-test results, health education materials, activity reports, photos</w:t>
            </w:r>
          </w:p>
        </w:tc>
      </w:tr>
      <w:tr w14:paraId="4C10AC2F">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4EC4E2A">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b/>
                <w:bCs/>
                <w:sz w:val="22"/>
                <w:szCs w:val="22"/>
              </w:rPr>
              <w:t>SDG 3 – Good Health and Well-being</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B764BD0">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b/>
                <w:bCs/>
                <w:sz w:val="22"/>
                <w:szCs w:val="22"/>
              </w:rPr>
              <w:t>Target 3.8:</w:t>
            </w:r>
            <w:r>
              <w:rPr>
                <w:rFonts w:hint="default" w:ascii="Times New Roman Regular" w:hAnsi="Times New Roman Regular" w:cs="Times New Roman Regular"/>
                <w:sz w:val="22"/>
                <w:szCs w:val="22"/>
              </w:rPr>
              <w:t xml:space="preserve"> Access to quality essential health services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60B6B59">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Facilitate appropriate health information, basic assessment, health counseling, and referral/linkage to RHU and other health services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CBF58A0">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Improved awareness of available health services and appropriate referral of identified health concerns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42CEB81">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Referral forms, screening records, RHU reports, community feedback</w:t>
            </w:r>
          </w:p>
        </w:tc>
      </w:tr>
      <w:tr w14:paraId="62D58DA1">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69A0D15">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b/>
                <w:bCs/>
                <w:sz w:val="22"/>
                <w:szCs w:val="22"/>
              </w:rPr>
              <w:t>SDG 4 – Quality Education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B261A82">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b/>
                <w:bCs/>
                <w:sz w:val="22"/>
                <w:szCs w:val="22"/>
              </w:rPr>
              <w:t>Target 4.4:</w:t>
            </w:r>
            <w:r>
              <w:rPr>
                <w:rFonts w:hint="default" w:ascii="Times New Roman Regular" w:hAnsi="Times New Roman Regular" w:cs="Times New Roman Regular"/>
                <w:sz w:val="22"/>
                <w:szCs w:val="22"/>
              </w:rPr>
              <w:t xml:space="preserve"> Develop relevant skills and competencies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7A13CAC">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Engage nursing students in supervised community immersion, health teaching, health promotion, and community-based activities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B8BBC0A">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Improved student competencies in communication, health education, leadership, teamwork, and community engagement</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9B8D235">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Student activity reports, competency checklists, reflection journals, faculty evaluation</w:t>
            </w:r>
          </w:p>
        </w:tc>
      </w:tr>
      <w:tr w14:paraId="51E6F00A">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110ACE7">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b/>
                <w:bCs/>
                <w:sz w:val="22"/>
                <w:szCs w:val="22"/>
              </w:rPr>
              <w:t>SDG 4 – Quality Education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2A5EFD0">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b/>
                <w:bCs/>
                <w:sz w:val="22"/>
                <w:szCs w:val="22"/>
              </w:rPr>
              <w:t>Target 4.7:</w:t>
            </w:r>
            <w:r>
              <w:rPr>
                <w:rFonts w:hint="default" w:ascii="Times New Roman Regular" w:hAnsi="Times New Roman Regular" w:cs="Times New Roman Regular"/>
                <w:sz w:val="22"/>
                <w:szCs w:val="22"/>
              </w:rPr>
              <w:t xml:space="preserve"> Education for sustainable development and responsible citizenship</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8C89BC4">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Conduct reflective learning activities focusing on professional responsibility, community participation, cultural sensitivity, and service</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BB16E56">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Increased student awareness of professional roles, responsibilities, values, and community-oriented nursing practice</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63C43E3">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Reflection journals, focus-group documentation, student evaluation, portfolio</w:t>
            </w:r>
          </w:p>
        </w:tc>
      </w:tr>
      <w:tr w14:paraId="17830AFE">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CCC7817">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b/>
                <w:bCs/>
                <w:sz w:val="22"/>
                <w:szCs w:val="22"/>
              </w:rPr>
              <w:t>SDG 10 – Reduced Inequalities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4D28E79">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b/>
                <w:bCs/>
                <w:sz w:val="22"/>
                <w:szCs w:val="22"/>
              </w:rPr>
              <w:t>Target 10.2:</w:t>
            </w:r>
            <w:r>
              <w:rPr>
                <w:rFonts w:hint="default" w:ascii="Times New Roman Regular" w:hAnsi="Times New Roman Regular" w:cs="Times New Roman Regular"/>
                <w:sz w:val="22"/>
                <w:szCs w:val="22"/>
              </w:rPr>
              <w:t xml:space="preserve"> Promote social and economic inclusion of all</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01046E3">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Prioritize vulnerable individuals, families, older adults, and underserved community members in extension activities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5305248">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Increased access to health information and community-based health promotion among vulnerable groups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CEC6768">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Beneficiary profiles, attendance records, activity reports, feedback forms</w:t>
            </w:r>
          </w:p>
        </w:tc>
      </w:tr>
      <w:tr w14:paraId="7A7DFD0A">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D7DD64B">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b/>
                <w:bCs/>
                <w:sz w:val="22"/>
                <w:szCs w:val="22"/>
              </w:rPr>
              <w:t>SDG 11 – Sustainable Cities and Communities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B036C85">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b/>
                <w:bCs/>
                <w:sz w:val="22"/>
                <w:szCs w:val="22"/>
              </w:rPr>
              <w:t>Target 11.3:</w:t>
            </w:r>
            <w:r>
              <w:rPr>
                <w:rFonts w:hint="default" w:ascii="Times New Roman Regular" w:hAnsi="Times New Roman Regular" w:cs="Times New Roman Regular"/>
                <w:sz w:val="22"/>
                <w:szCs w:val="22"/>
              </w:rPr>
              <w:t xml:space="preserve"> Enhance inclusive and sustainable community participation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AD11DC6">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Involve barangays, BHWs, LGUs, RHUs, and community organizations in planning and implementing health activities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D7D67EB">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Strengthened community participation and local ownership of health-promotion initiatives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F79D727">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Partnership agreements, meeting minutes, attendance sheets, community action plans</w:t>
            </w:r>
          </w:p>
        </w:tc>
      </w:tr>
      <w:tr w14:paraId="16D8AE72">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4484308">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b/>
                <w:bCs/>
                <w:sz w:val="22"/>
                <w:szCs w:val="22"/>
              </w:rPr>
              <w:t>SDG 17 – Partnerships for the Goals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8EBD628">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b/>
                <w:bCs/>
                <w:sz w:val="22"/>
                <w:szCs w:val="22"/>
              </w:rPr>
              <w:t>Target 17.17:</w:t>
            </w:r>
            <w:r>
              <w:rPr>
                <w:rFonts w:hint="default" w:ascii="Times New Roman Regular" w:hAnsi="Times New Roman Regular" w:cs="Times New Roman Regular"/>
                <w:sz w:val="22"/>
                <w:szCs w:val="22"/>
              </w:rPr>
              <w:t xml:space="preserve"> Encourage effective partnerships among institutions and communities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D6EF435">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Establish and strengthen partnerships among JHCSC, School of Nursing, Extension Services Office, LGUs, RHUs, BHWs, and community organizations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0B7BEB5">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Stronger university-community collaboration and sustained extension activities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9C6D03F">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MOA/MOU, partnership records, joint activity reports, evaluation reports</w:t>
            </w:r>
          </w:p>
        </w:tc>
      </w:tr>
      <w:tr w14:paraId="424F17C1">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770D89B">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b/>
                <w:bCs/>
                <w:sz w:val="22"/>
                <w:szCs w:val="22"/>
              </w:rPr>
              <w:t>SDG 17 – Partnerships for the Goals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DF9330E">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b/>
                <w:bCs/>
                <w:sz w:val="22"/>
                <w:szCs w:val="22"/>
              </w:rPr>
              <w:t>Target 17.16:</w:t>
            </w:r>
            <w:r>
              <w:rPr>
                <w:rFonts w:hint="default" w:ascii="Times New Roman Regular" w:hAnsi="Times New Roman Regular" w:cs="Times New Roman Regular"/>
                <w:sz w:val="22"/>
                <w:szCs w:val="22"/>
              </w:rPr>
              <w:t xml:space="preserve"> Strengthen partnerships for sustainable development</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E6F33D0">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Develop continuing collaborative activities involving nursing students, faculty, health professionals, and community partners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E30149F">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Sustainable network for community health education and extension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55A55B2">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Partnership database, accomplishment reports, sustainability plan</w:t>
            </w:r>
          </w:p>
        </w:tc>
      </w:tr>
    </w:tbl>
    <w:p w14:paraId="03C21AED">
      <w:pPr>
        <w:tabs>
          <w:tab w:val="left" w:pos="2102"/>
        </w:tabs>
        <w:jc w:val="both"/>
        <w:rPr>
          <w:rFonts w:hint="default" w:ascii="Times New Roman Regular" w:hAnsi="Times New Roman Regular" w:cs="Times New Roman Regular"/>
          <w:b/>
          <w:bCs/>
          <w:color w:val="auto"/>
          <w:sz w:val="22"/>
          <w:szCs w:val="22"/>
          <w:lang w:val="en-US"/>
        </w:rPr>
      </w:pPr>
    </w:p>
    <w:p w14:paraId="032D6E39">
      <w:pPr>
        <w:pStyle w:val="8"/>
        <w:keepNext w:val="0"/>
        <w:keepLines w:val="0"/>
        <w:widowControl/>
        <w:suppressLineNumbers w:val="0"/>
        <w:spacing w:line="27" w:lineRule="atLeast"/>
        <w:rPr>
          <w:rFonts w:hint="default" w:ascii="Times New Roman Regular" w:hAnsi="Times New Roman Regular" w:cs="Times New Roman Regular"/>
          <w:b/>
          <w:bCs/>
        </w:rPr>
      </w:pPr>
      <w:r>
        <w:rPr>
          <w:rFonts w:hint="default" w:ascii="Times New Roman Regular" w:hAnsi="Times New Roman Regular" w:cs="Times New Roman Regular"/>
          <w:color w:val="000000"/>
          <w:sz w:val="22"/>
          <w:szCs w:val="22"/>
        </w:rPr>
        <w:br w:type="textWrapping"/>
      </w:r>
      <w:r>
        <w:rPr>
          <w:rStyle w:val="10"/>
          <w:rFonts w:hint="default" w:ascii="Times New Roman Regular" w:hAnsi="Times New Roman Regular" w:cs="Times New Roman Regular"/>
          <w:color w:val="000000"/>
          <w:sz w:val="22"/>
          <w:szCs w:val="22"/>
        </w:rPr>
        <w:t> </w:t>
      </w:r>
      <w:r>
        <w:rPr>
          <w:rFonts w:hint="default" w:ascii="Times New Roman Regular" w:hAnsi="Times New Roman Regular" w:cs="Times New Roman Regular"/>
          <w:b/>
          <w:bCs/>
          <w:lang w:val="en-US"/>
        </w:rPr>
        <w:t xml:space="preserve">A.1.2 </w:t>
      </w:r>
      <w:r>
        <w:rPr>
          <w:rFonts w:hint="default" w:ascii="Times New Roman Regular" w:hAnsi="Times New Roman Regular" w:cs="Times New Roman Regular"/>
          <w:b/>
          <w:bCs/>
        </w:rPr>
        <w:t>A.C.H.I.E.V.E. ALIGNMENT</w:t>
      </w:r>
    </w:p>
    <w:p w14:paraId="4B8DAB41">
      <w:pPr>
        <w:rPr>
          <w:rFonts w:hint="default" w:ascii="Times New Roman Regular" w:hAnsi="Times New Roman Regular" w:cs="Times New Roman Regular"/>
        </w:rPr>
      </w:pPr>
      <w:r>
        <w:rPr>
          <w:rStyle w:val="7"/>
          <w:rFonts w:hint="default" w:ascii="Times New Roman Regular" w:hAnsi="Times New Roman Regular" w:cs="Times New Roman Regular"/>
          <w:color w:val="000000"/>
          <w:sz w:val="22"/>
          <w:szCs w:val="22"/>
        </w:rPr>
        <w:t>(Advanced and Accessible Lifelong Learning, Centralized Human Capital Development, Harmonized SDG-Based Research and Innovation, Integrated Real-Time Data and Analytics, Expanded Internationalization Strategies, Vitalized Policies and Governance, Effective and Efficient Public Service)</w:t>
      </w:r>
      <w:r>
        <w:rPr>
          <w:rFonts w:hint="default" w:ascii="Times New Roman Regular" w:hAnsi="Times New Roman Regular" w:cs="Times New Roman Regular"/>
          <w:color w:val="000000"/>
          <w:sz w:val="22"/>
          <w:szCs w:val="22"/>
        </w:rPr>
        <w:br w:type="textWrapping"/>
      </w:r>
    </w:p>
    <w:tbl>
      <w:tblPr>
        <w:tblW w:w="5000" w:type="pct"/>
        <w:tblInd w:w="0" w:type="dxa"/>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shd w:val="clear"/>
        <w:tblLayout w:type="autofit"/>
        <w:tblCellMar>
          <w:top w:w="120" w:type="dxa"/>
          <w:left w:w="120" w:type="dxa"/>
          <w:bottom w:w="120" w:type="dxa"/>
          <w:right w:w="120" w:type="dxa"/>
        </w:tblCellMar>
      </w:tblPr>
      <w:tblGrid>
        <w:gridCol w:w="391"/>
        <w:gridCol w:w="3110"/>
        <w:gridCol w:w="3165"/>
        <w:gridCol w:w="2334"/>
      </w:tblGrid>
      <w:tr w14:paraId="13BA7713">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731E41B">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b/>
                <w:bCs/>
                <w:sz w:val="22"/>
                <w:szCs w:val="22"/>
              </w:rPr>
              <w:t xml:space="preserve">A </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5BD0229">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Provides continuous, experiential, and community-based learning opportunities for nursing students and community members.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1614FB1">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Community health education; student orientation; health-promotion sessions; community immersion; reflective learning</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EF22E8D">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Improved health knowledge among community members and enhanced experiential learning among nursing students</w:t>
            </w:r>
          </w:p>
        </w:tc>
      </w:tr>
      <w:tr w14:paraId="223BDA57">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33C3F6F">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b/>
                <w:bCs/>
                <w:sz w:val="22"/>
                <w:szCs w:val="22"/>
              </w:rPr>
              <w:t xml:space="preserve">C </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E72DF8C">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Develops the competencies and professional attributes of nursing students while strengthening the capabilities of community partners and health volunteers.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69EBAF4">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Skills training; community health education; leadership activities; teamwork; mentoring and faculty supervision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073B234">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Improved communication, leadership, health education, cultural sensitivity, and community engagement competencies</w:t>
            </w:r>
          </w:p>
        </w:tc>
      </w:tr>
      <w:tr w14:paraId="56560DEE">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5D675DF">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b/>
                <w:bCs/>
                <w:sz w:val="22"/>
                <w:szCs w:val="22"/>
              </w:rPr>
              <w:t xml:space="preserve">H </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1243742">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Integrates extension activities with the research focus on community engagement and professional identity formation and directly supports relevant SDGs.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21E1120">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Evidence-informed health programs; documentation of community needs; student reflection; evaluation of extension outcomes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B651E9A">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Evidence-based extension practices aligned with </w:t>
            </w:r>
            <w:r>
              <w:rPr>
                <w:rFonts w:hint="default" w:ascii="Times New Roman Regular" w:hAnsi="Times New Roman Regular" w:cs="Times New Roman Regular"/>
                <w:b/>
                <w:bCs/>
                <w:sz w:val="22"/>
                <w:szCs w:val="22"/>
              </w:rPr>
              <w:t>SDG 3, SDG 4, and SDG 17</w:t>
            </w:r>
          </w:p>
        </w:tc>
      </w:tr>
      <w:tr w14:paraId="36C80725">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B76041C">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b/>
                <w:bCs/>
                <w:sz w:val="22"/>
                <w:szCs w:val="22"/>
              </w:rPr>
              <w:t xml:space="preserve">I </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F72E959">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Uses systematic documentation and monitoring of community participation, activities, needs, and program outcomes to guide decision-making.</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B1EB2A5">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Community needs assessment; attendance monitoring; pre/post assessments; feedback collection; program monitoring and evaluation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E3BC6B0">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Organized program data and evaluation results that can guide future extension activities</w:t>
            </w:r>
          </w:p>
        </w:tc>
      </w:tr>
      <w:tr w14:paraId="0437ED0A">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2008EC4">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b/>
                <w:bCs/>
                <w:sz w:val="22"/>
                <w:szCs w:val="22"/>
              </w:rPr>
              <w:t xml:space="preserve">E </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C502A9C">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Provides opportunities to develop community-health practices and learning materials that can be shared, benchmarked, or presented beyond the local institutional setting.</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F003245">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Documentation of best practices; development of presentation materials; dissemination of program outcomes; sharing of lessons learned</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ADD31F7">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Increased visibility of JHCSC nursing extension practices and opportunities for wider academic/community collaboration</w:t>
            </w:r>
          </w:p>
        </w:tc>
      </w:tr>
      <w:tr w14:paraId="4A50B11E">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3731599">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b/>
                <w:bCs/>
                <w:sz w:val="22"/>
                <w:szCs w:val="22"/>
              </w:rPr>
              <w:t xml:space="preserve">V </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E83C0F7">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Strengthens institutional coordination, ethical community engagement, accountability, and partnership mechanisms in extension implementation.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6979680">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Coordination with School of Nursing, Extension Services Office, RLE, LGUs, RHUs, and barangays; development of implementation guidelines; monitoring and evaluation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3775C1D">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Strengthened governance, accountability, coordination, and sustainability of community extension activities</w:t>
            </w:r>
          </w:p>
        </w:tc>
      </w:tr>
      <w:tr w14:paraId="46011D8F">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7DBED29">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b/>
                <w:bCs/>
                <w:sz w:val="22"/>
                <w:szCs w:val="22"/>
              </w:rPr>
              <w:t xml:space="preserve">E </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2FCFFF0">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Translates nursing knowledge and student competencies into community-oriented health services and education.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A720D9F">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Health promotion; disease prevention; health education; basic health assessment; appropriate referral/linkage; community outreach</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AB2112A">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Improved community access to health information and strengthened university-community service</w:t>
            </w:r>
          </w:p>
        </w:tc>
      </w:tr>
    </w:tbl>
    <w:p w14:paraId="0217AA04">
      <w:pPr>
        <w:pStyle w:val="8"/>
        <w:keepNext w:val="0"/>
        <w:keepLines w:val="0"/>
        <w:widowControl/>
        <w:suppressLineNumbers w:val="0"/>
        <w:spacing w:line="27" w:lineRule="atLeast"/>
        <w:jc w:val="both"/>
        <w:rPr>
          <w:rStyle w:val="7"/>
          <w:rFonts w:hint="default" w:ascii="Times New Roman Regular" w:hAnsi="Times New Roman Regular" w:cs="Times New Roman Regular"/>
          <w:color w:val="000000"/>
          <w:sz w:val="22"/>
          <w:szCs w:val="22"/>
        </w:rPr>
      </w:pPr>
      <w:r>
        <w:rPr>
          <w:rStyle w:val="9"/>
          <w:rFonts w:hint="default" w:ascii="Times New Roman Regular" w:hAnsi="Times New Roman Regular" w:cs="Times New Roman Regular"/>
          <w:color w:val="000000"/>
          <w:sz w:val="24"/>
          <w:szCs w:val="24"/>
        </w:rPr>
        <w:t>A.1.3 R.E.S.I.L.I.E.N.T.</w:t>
      </w:r>
      <w:r>
        <w:rPr>
          <w:rFonts w:hint="default" w:ascii="Times New Roman Regular" w:hAnsi="Times New Roman Regular" w:cs="Times New Roman Regular"/>
          <w:color w:val="000000"/>
          <w:sz w:val="22"/>
          <w:szCs w:val="22"/>
        </w:rPr>
        <w:br w:type="textWrapping"/>
      </w:r>
      <w:r>
        <w:rPr>
          <w:rStyle w:val="7"/>
          <w:rFonts w:hint="default" w:ascii="Times New Roman Regular" w:hAnsi="Times New Roman Regular" w:cs="Times New Roman Regular"/>
          <w:color w:val="000000"/>
          <w:sz w:val="22"/>
          <w:szCs w:val="22"/>
        </w:rPr>
        <w:t>(Research-driven, SDG-based, and industry responsive education, Empowered Communities and Effective Public Service, Strategic student affairs, culture, International Institutional linkages, and development, Learning Excellence anchored in Quality Assurance, accreditation and Partnerships, Inclusive Governance and Vitalized Policies, Enhanced research culture with global relevance and innovation impact, Nurtured Professional Excellence and Workforce Development, Technology integration &amp; Infrastructure Development for Advancement and Real-time Analytics)</w:t>
      </w:r>
    </w:p>
    <w:tbl>
      <w:tblPr>
        <w:tblW w:w="5000" w:type="pct"/>
        <w:tblInd w:w="0" w:type="dxa"/>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shd w:val="clear"/>
        <w:tblLayout w:type="autofit"/>
        <w:tblCellMar>
          <w:top w:w="120" w:type="dxa"/>
          <w:left w:w="120" w:type="dxa"/>
          <w:bottom w:w="120" w:type="dxa"/>
          <w:right w:w="120" w:type="dxa"/>
        </w:tblCellMar>
      </w:tblPr>
      <w:tblGrid>
        <w:gridCol w:w="387"/>
        <w:gridCol w:w="3173"/>
        <w:gridCol w:w="2962"/>
        <w:gridCol w:w="2478"/>
      </w:tblGrid>
      <w:tr w14:paraId="6375CFFC">
        <w:trPr>
          <w:tblHeader/>
        </w:trPr>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7A2671E">
            <w:pPr>
              <w:pStyle w:val="8"/>
              <w:keepNext w:val="0"/>
              <w:keepLines w:val="0"/>
              <w:widowControl/>
              <w:suppressLineNumbers w:val="0"/>
              <w:spacing w:before="0" w:beforeAutospacing="1" w:after="0" w:afterAutospacing="1"/>
              <w:ind w:left="0" w:right="0"/>
              <w:jc w:val="center"/>
              <w:rPr>
                <w:rFonts w:hint="default" w:ascii="Times New Roman Regular" w:hAnsi="Times New Roman Regular" w:cs="Times New Roman Regular"/>
              </w:rPr>
            </w:pP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46260D1">
            <w:pPr>
              <w:pStyle w:val="8"/>
              <w:keepNext w:val="0"/>
              <w:keepLines w:val="0"/>
              <w:widowControl/>
              <w:suppressLineNumbers w:val="0"/>
              <w:spacing w:before="0" w:beforeAutospacing="1" w:after="0" w:afterAutospacing="1"/>
              <w:ind w:left="0" w:right="0"/>
              <w:jc w:val="center"/>
              <w:rPr>
                <w:rFonts w:hint="default" w:ascii="Times New Roman Regular" w:hAnsi="Times New Roman Regular" w:cs="Times New Roman Regular"/>
              </w:rPr>
            </w:pPr>
            <w:r>
              <w:rPr>
                <w:rFonts w:hint="default" w:ascii="Times New Roman Regular" w:hAnsi="Times New Roman Regular" w:cs="Times New Roman Regular"/>
                <w:b/>
                <w:bCs/>
              </w:rPr>
              <w:t>Alignment of the Extension Program</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57798F8">
            <w:pPr>
              <w:pStyle w:val="8"/>
              <w:keepNext w:val="0"/>
              <w:keepLines w:val="0"/>
              <w:widowControl/>
              <w:suppressLineNumbers w:val="0"/>
              <w:spacing w:before="0" w:beforeAutospacing="1" w:after="0" w:afterAutospacing="1"/>
              <w:ind w:left="0" w:right="0"/>
              <w:jc w:val="center"/>
              <w:rPr>
                <w:rFonts w:hint="default" w:ascii="Times New Roman Regular" w:hAnsi="Times New Roman Regular" w:cs="Times New Roman Regular"/>
              </w:rPr>
            </w:pPr>
            <w:r>
              <w:rPr>
                <w:rFonts w:hint="default" w:ascii="Times New Roman Regular" w:hAnsi="Times New Roman Regular" w:cs="Times New Roman Regular"/>
                <w:b/>
                <w:bCs/>
              </w:rPr>
              <w:t>Major Activities/Strategies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A10AEA8">
            <w:pPr>
              <w:pStyle w:val="8"/>
              <w:keepNext w:val="0"/>
              <w:keepLines w:val="0"/>
              <w:widowControl/>
              <w:suppressLineNumbers w:val="0"/>
              <w:spacing w:before="0" w:beforeAutospacing="1" w:after="0" w:afterAutospacing="1"/>
              <w:ind w:left="0" w:right="0"/>
              <w:jc w:val="center"/>
              <w:rPr>
                <w:rFonts w:hint="default" w:ascii="Times New Roman Regular" w:hAnsi="Times New Roman Regular" w:cs="Times New Roman Regular"/>
              </w:rPr>
            </w:pPr>
            <w:r>
              <w:rPr>
                <w:rFonts w:hint="default" w:ascii="Times New Roman Regular" w:hAnsi="Times New Roman Regular" w:cs="Times New Roman Regular"/>
                <w:b/>
                <w:bCs/>
              </w:rPr>
              <w:t>Expected Outputs/Outcomes</w:t>
            </w:r>
          </w:p>
        </w:tc>
      </w:tr>
      <w:tr w14:paraId="2A362F74">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35B4CB9">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b/>
                <w:bCs/>
                <w:sz w:val="21"/>
                <w:szCs w:val="21"/>
              </w:rPr>
              <w:t xml:space="preserve">R </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FB2E94D">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The program translates research findings on nursing students’ community engagement and professional identity formation into evidence-informed extension activities.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20646C3">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Community needs assessment; evidence-based health education; integration of research findings into extension activities; student reflection and evaluation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76A5E28">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Evidence-informed extension activities; improved student learning; stronger integration of research, instruction, RLE, and extension</w:t>
            </w:r>
          </w:p>
        </w:tc>
      </w:tr>
      <w:tr w14:paraId="72BD76A7">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89C8E1B">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b/>
                <w:bCs/>
                <w:sz w:val="21"/>
                <w:szCs w:val="21"/>
              </w:rPr>
              <w:t xml:space="preserve">E </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9569977">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The program empowers communities through accessible health information, health promotion, disease prevention, and appropriate referral to health services.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61237BA">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Community health education; wellness activities; disease-prevention campaigns; basic health assessment; referral/linkage</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27E427A">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Increased community health awareness, participation, and capacity for health-promoting practices</w:t>
            </w:r>
          </w:p>
        </w:tc>
      </w:tr>
      <w:tr w14:paraId="026BC57F">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8DD4A0C">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b/>
                <w:bCs/>
                <w:sz w:val="21"/>
                <w:szCs w:val="21"/>
              </w:rPr>
              <w:t xml:space="preserve">S </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D57B69C">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The program provides nursing students with meaningful community experiences that contribute to holistic development, social responsibility, cultural sensitivity, and professional identity.</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85C0078">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Community immersion; student volunteerism; cultural-sensitivity activities; reflection sessions; student mentoring</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30721DC">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Enhanced student engagement, social responsibility, cultural competence, and professional development</w:t>
            </w:r>
          </w:p>
        </w:tc>
      </w:tr>
      <w:tr w14:paraId="1CBC0447">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8D3850C">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b/>
                <w:bCs/>
                <w:sz w:val="21"/>
                <w:szCs w:val="21"/>
              </w:rPr>
              <w:t xml:space="preserve">I </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B53D2D7">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The program strengthens experiential learning and provides structured, documented, and evaluated community-based learning opportunities.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595520C">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Faculty supervision; competency monitoring; program evaluation; stakeholder feedback; documentation of extension activities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7469E54">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Quality-assured extension implementation; documented student competencies; strengthened community-academic partnerships</w:t>
            </w:r>
          </w:p>
        </w:tc>
      </w:tr>
      <w:tr w14:paraId="444BC421">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4003CF1">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b/>
                <w:bCs/>
                <w:sz w:val="21"/>
                <w:szCs w:val="21"/>
              </w:rPr>
              <w:t xml:space="preserve">L </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70EA58D">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The program promotes participatory decision-making by involving students, faculty, LGUs, RHUs, BHWs, and community representatives in planning and implementation.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E38FC85">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Stakeholder consultation; community needs assessment; partnership meetings; development of implementation guidelines; monitoring</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74EF1B0">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Participatory governance, clearer roles and responsibilities, improved accountability, and strengthened institutional-community coordination</w:t>
            </w:r>
          </w:p>
        </w:tc>
      </w:tr>
      <w:tr w14:paraId="5A007B36">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4636589">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b/>
                <w:bCs/>
                <w:sz w:val="21"/>
                <w:szCs w:val="21"/>
              </w:rPr>
              <w:t xml:space="preserve">I </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C31A0DD">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The program creates opportunities to generate community-based evidence and transform extension experiences into researchable knowledge and innovations.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65ADDEA">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Documentation of community needs; evaluation of program effectiveness; student reflection; development of evidence-based IEC materials; dissemination of lessons learned</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DC14E99">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Community-based evidence, potential research outputs, innovative health-promotion strategies, and opportunities for scholarly dissemination</w:t>
            </w:r>
          </w:p>
        </w:tc>
      </w:tr>
      <w:tr w14:paraId="0D282F81">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39F80C6">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b/>
                <w:bCs/>
                <w:sz w:val="21"/>
                <w:szCs w:val="21"/>
              </w:rPr>
              <w:t xml:space="preserve">E </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DA02AA0">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The program develops nursing students’ competencies and professional identity through authentic community experiences.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9EBE22E">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Health teaching; leadership activities; teamwork; communication training; supervised community engagement; reflective practice</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8E2E8F0">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Improved professional competencies, leadership, communication, cultural sensitivity, and community-oriented nursing practice</w:t>
            </w:r>
          </w:p>
        </w:tc>
      </w:tr>
      <w:tr w14:paraId="798E0DC7">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5F26F3A">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b/>
                <w:bCs/>
                <w:sz w:val="21"/>
                <w:szCs w:val="21"/>
              </w:rPr>
              <w:t xml:space="preserve">N </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B4560CC">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The program uses appropriate digital tools for communication, documentation, monitoring, evaluation, and data management.</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BCCA51D">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Digital attendance and monitoring; electronic documentation; online coordination; digital IEC materials; data collection and analysis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BCE842A">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Improved program monitoring, organized extension data, efficient communication, and evidence-informed decision-making</w:t>
            </w:r>
          </w:p>
        </w:tc>
      </w:tr>
    </w:tbl>
    <w:p w14:paraId="4C4EB425">
      <w:pPr>
        <w:jc w:val="both"/>
        <w:rPr>
          <w:rStyle w:val="9"/>
          <w:rFonts w:hint="default" w:ascii="Times New Roman Regular" w:hAnsi="Times New Roman Regular" w:cs="Times New Roman Regular"/>
          <w:color w:val="000000"/>
          <w:sz w:val="21"/>
          <w:szCs w:val="21"/>
        </w:rPr>
      </w:pPr>
    </w:p>
    <w:p w14:paraId="604DF579">
      <w:pPr>
        <w:jc w:val="both"/>
        <w:rPr>
          <w:rStyle w:val="9"/>
          <w:rFonts w:hint="default" w:ascii="Times New Roman Regular" w:hAnsi="Times New Roman Regular" w:cs="Times New Roman Regular"/>
          <w:color w:val="000000"/>
          <w:sz w:val="24"/>
          <w:szCs w:val="24"/>
        </w:rPr>
      </w:pPr>
    </w:p>
    <w:p w14:paraId="42221E0D">
      <w:pPr>
        <w:jc w:val="both"/>
        <w:rPr>
          <w:rStyle w:val="9"/>
          <w:rFonts w:hint="default" w:ascii="Times New Roman Regular" w:hAnsi="Times New Roman Regular" w:cs="Times New Roman Regular"/>
          <w:color w:val="000000"/>
          <w:sz w:val="24"/>
          <w:szCs w:val="24"/>
        </w:rPr>
      </w:pPr>
    </w:p>
    <w:p w14:paraId="5BE2023C">
      <w:pPr>
        <w:jc w:val="both"/>
        <w:rPr>
          <w:rFonts w:hint="default" w:ascii="Times New Roman Regular" w:hAnsi="Times New Roman Regular" w:cs="Times New Roman Regular"/>
          <w:b/>
          <w:bCs/>
          <w:color w:val="auto"/>
          <w:sz w:val="24"/>
          <w:szCs w:val="24"/>
        </w:rPr>
      </w:pPr>
      <w:r>
        <w:rPr>
          <w:rStyle w:val="9"/>
          <w:rFonts w:hint="default" w:ascii="Times New Roman Regular" w:hAnsi="Times New Roman Regular" w:cs="Times New Roman Regular"/>
          <w:color w:val="000000"/>
          <w:sz w:val="24"/>
          <w:szCs w:val="24"/>
        </w:rPr>
        <w:t>A.1.4 T.A.B.A.N.G.E.</w:t>
      </w:r>
      <w:r>
        <w:rPr>
          <w:rFonts w:hint="default" w:ascii="Times New Roman Regular" w:hAnsi="Times New Roman Regular" w:cs="Times New Roman Regular"/>
          <w:color w:val="000000"/>
          <w:sz w:val="24"/>
          <w:szCs w:val="24"/>
        </w:rPr>
        <w:br w:type="textWrapping"/>
      </w:r>
      <w:r>
        <w:rPr>
          <w:rStyle w:val="7"/>
          <w:rFonts w:hint="default" w:ascii="Times New Roman Regular" w:hAnsi="Times New Roman Regular" w:cs="Times New Roman Regular"/>
          <w:color w:val="000000"/>
          <w:sz w:val="24"/>
          <w:szCs w:val="24"/>
        </w:rPr>
        <w:t>(Technology and Literacy initiatives, Agriculture and Aquatic Resources Management, Barangay Empowerment and Good Governance, Adopt a Community, Nutrition and Health Programs, Gender Development and Income Generation, Environmental Resource Conservation and Disaster Risk Reduction)</w:t>
      </w:r>
      <w:r>
        <w:rPr>
          <w:rFonts w:hint="default" w:ascii="Times New Roman Regular" w:hAnsi="Times New Roman Regular" w:cs="Times New Roman Regular"/>
          <w:color w:val="000000"/>
          <w:sz w:val="22"/>
          <w:szCs w:val="22"/>
        </w:rPr>
        <w:br w:type="textWrapping"/>
      </w:r>
    </w:p>
    <w:p w14:paraId="35F82038">
      <w:pPr>
        <w:pStyle w:val="3"/>
        <w:keepNext w:val="0"/>
        <w:keepLines w:val="0"/>
        <w:widowControl/>
        <w:suppressLineNumbers w:val="0"/>
        <w:rPr>
          <w:rFonts w:hint="default" w:ascii="Times New Roman Regular" w:hAnsi="Times New Roman Regular" w:cs="Times New Roman Regular"/>
        </w:rPr>
      </w:pPr>
      <w:r>
        <w:rPr>
          <w:rFonts w:hint="default" w:ascii="Times New Roman Regular" w:hAnsi="Times New Roman Regular" w:cs="Times New Roman Regular"/>
          <w:b/>
          <w:bCs/>
          <w:sz w:val="24"/>
          <w:szCs w:val="24"/>
        </w:rPr>
        <w:t>ALIGNMENT WITH THE EXTENSION PROGRAM FRAMEWORK</w:t>
      </w:r>
    </w:p>
    <w:tbl>
      <w:tblPr>
        <w:tblW w:w="5000" w:type="pct"/>
        <w:tblInd w:w="0" w:type="dxa"/>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shd w:val="clear"/>
        <w:tblLayout w:type="autofit"/>
        <w:tblCellMar>
          <w:top w:w="120" w:type="dxa"/>
          <w:left w:w="120" w:type="dxa"/>
          <w:bottom w:w="120" w:type="dxa"/>
          <w:right w:w="120" w:type="dxa"/>
        </w:tblCellMar>
      </w:tblPr>
      <w:tblGrid>
        <w:gridCol w:w="1388"/>
        <w:gridCol w:w="2836"/>
        <w:gridCol w:w="2833"/>
        <w:gridCol w:w="1943"/>
      </w:tblGrid>
      <w:tr w14:paraId="173522F9">
        <w:trPr>
          <w:tblHeader/>
        </w:trPr>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7B13B19">
            <w:pPr>
              <w:pStyle w:val="8"/>
              <w:keepNext w:val="0"/>
              <w:keepLines w:val="0"/>
              <w:widowControl/>
              <w:suppressLineNumbers w:val="0"/>
              <w:spacing w:before="0" w:beforeAutospacing="1" w:after="0" w:afterAutospacing="1"/>
              <w:ind w:left="0" w:right="0"/>
              <w:jc w:val="center"/>
              <w:rPr>
                <w:rFonts w:hint="default" w:ascii="Times New Roman Regular" w:hAnsi="Times New Roman Regular" w:cs="Times New Roman Regular"/>
              </w:rPr>
            </w:pP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3BA4D06">
            <w:pPr>
              <w:pStyle w:val="8"/>
              <w:keepNext w:val="0"/>
              <w:keepLines w:val="0"/>
              <w:widowControl/>
              <w:suppressLineNumbers w:val="0"/>
              <w:spacing w:before="0" w:beforeAutospacing="1" w:after="0" w:afterAutospacing="1"/>
              <w:ind w:left="0" w:right="0"/>
              <w:jc w:val="center"/>
              <w:rPr>
                <w:rFonts w:hint="default" w:ascii="Times New Roman Regular" w:hAnsi="Times New Roman Regular" w:cs="Times New Roman Regular"/>
              </w:rPr>
            </w:pPr>
            <w:r>
              <w:rPr>
                <w:rFonts w:hint="default" w:ascii="Times New Roman Regular" w:hAnsi="Times New Roman Regular" w:cs="Times New Roman Regular"/>
                <w:b/>
                <w:bCs/>
              </w:rPr>
              <w:t>Program Alignment</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9D44C48">
            <w:pPr>
              <w:pStyle w:val="8"/>
              <w:keepNext w:val="0"/>
              <w:keepLines w:val="0"/>
              <w:widowControl/>
              <w:suppressLineNumbers w:val="0"/>
              <w:spacing w:before="0" w:beforeAutospacing="1" w:after="0" w:afterAutospacing="1"/>
              <w:ind w:left="0" w:right="0"/>
              <w:jc w:val="center"/>
              <w:rPr>
                <w:rFonts w:hint="default" w:ascii="Times New Roman Regular" w:hAnsi="Times New Roman Regular" w:cs="Times New Roman Regular"/>
              </w:rPr>
            </w:pPr>
            <w:r>
              <w:rPr>
                <w:rFonts w:hint="default" w:ascii="Times New Roman Regular" w:hAnsi="Times New Roman Regular" w:cs="Times New Roman Regular"/>
                <w:b/>
                <w:bCs/>
              </w:rPr>
              <w:t>Major Activities/Strategies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8544A8E">
            <w:pPr>
              <w:pStyle w:val="8"/>
              <w:keepNext w:val="0"/>
              <w:keepLines w:val="0"/>
              <w:widowControl/>
              <w:suppressLineNumbers w:val="0"/>
              <w:spacing w:before="0" w:beforeAutospacing="1" w:after="0" w:afterAutospacing="1"/>
              <w:ind w:left="0" w:right="0"/>
              <w:jc w:val="center"/>
              <w:rPr>
                <w:rFonts w:hint="default" w:ascii="Times New Roman Regular" w:hAnsi="Times New Roman Regular" w:cs="Times New Roman Regular"/>
              </w:rPr>
            </w:pPr>
            <w:r>
              <w:rPr>
                <w:rFonts w:hint="default" w:ascii="Times New Roman Regular" w:hAnsi="Times New Roman Regular" w:cs="Times New Roman Regular"/>
                <w:b/>
                <w:bCs/>
              </w:rPr>
              <w:t>Expected Outputs/Outcomes</w:t>
            </w:r>
          </w:p>
        </w:tc>
      </w:tr>
      <w:tr w14:paraId="56799ADA">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A7B85EA">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T – Technology and Literacy Initiatives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F863E97">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Utilizes technology and appropriate learning materials to improve access to health information and strengthen students’ digital communication skills.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F76A950">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Digital IEC materials; health-information campaigns; online health education materials; digital documentation and monitoring</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02B9C529">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Increased access to understandable health information; improved digital literacy and health-information dissemination</w:t>
            </w:r>
          </w:p>
        </w:tc>
      </w:tr>
      <w:tr w14:paraId="20432BF9">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A171C3F">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A – Agriculture and Aquatic Resources Management</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3127243">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Integrates community health education with available local food and livelihood resources, particularly where agriculture and aquatic resources influence nutrition and family well-being.</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32A1517">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Nutrition education using locally available food; discussions on food safety and healthy food choices; coordination with agriculture/aquatic-resource partners when applicable</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BBED926">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Increased awareness of nutritious local food resources and their contribution to community health</w:t>
            </w:r>
          </w:p>
        </w:tc>
      </w:tr>
      <w:tr w14:paraId="74097550">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221CF9B">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B – Barangay Empowerment and Good Governance</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D3EEC4E">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Strengthens the participation of barangay leaders, BHWs, families, and community members in identifying and addressing priority health concerns.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CA51027">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Barangay health-needs assessment; stakeholder consultations; health planning; BHW collaboration; community feedback</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139898D">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Increased barangay participation and stronger coordination in addressing community health concerns</w:t>
            </w:r>
          </w:p>
        </w:tc>
      </w:tr>
      <w:tr w14:paraId="2AF15C9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79C0363">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A – Adopt a Community</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511A9C6">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Establishes a sustained partnership between JHCSC School of Nursing and a selected community rather than conducting isolated outreach activities.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EA04BDF">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Community profiling; regular community visits; health education; monitoring; student-community engagement; sustainability planning</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2FFF6A7A">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Stronger and continuing university-community partnership and improved continuity of extension services</w:t>
            </w:r>
          </w:p>
        </w:tc>
      </w:tr>
      <w:tr w14:paraId="0D43CD36">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A9CEACA">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N – Nutrition and Health Programs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49E7200">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Serves as a major component of the program by promoting preventive health, healthy lifestyles, nutrition, and wellness.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29DDFE0">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Nutrition education; health promotion; disease prevention; basic health assessment; wellness activities; health counseling and referral</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9742223">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Improved community knowledge of nutrition, disease prevention, and healthy practices</w:t>
            </w:r>
          </w:p>
        </w:tc>
      </w:tr>
      <w:tr w14:paraId="3D81F510">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F6B0345">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G – Gender Development and Income Generation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4DC22EC9">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Promotes inclusive health education and recognizes gender-related health concerns and socioeconomic factors affecting community well-being.</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16F1CA9">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Gender-sensitive health education; reproductive/family health information; identification of vulnerable groups; referral to appropriate agencies and livelihood programs when applicable</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5B1CEC0A">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More inclusive community health activities and increased awareness of gender-responsive health and support services</w:t>
            </w:r>
          </w:p>
        </w:tc>
      </w:tr>
      <w:tr w14:paraId="5094FBE6">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3564C43D">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b/>
                <w:bCs/>
              </w:rPr>
              <w:t>E – Environmental Resource Conservation and Disaster Risk Reduction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6CC4D51B">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Incorporates environmental health, disaster preparedness, and community resilience into nursing-led health education.</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708913EA">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Environmental health education; sanitation and hygiene promotion; disaster preparedness orientation; first-aid/emergency preparedness education; community risk awareness</w:t>
            </w:r>
          </w:p>
        </w:tc>
        <w:tc>
          <w:tcPr>
            <w:tcW w:w="0" w:type="auto"/>
            <w:tcBorders>
              <w:top w:val="single" w:color="auto" w:sz="8" w:space="0"/>
              <w:left w:val="single" w:color="auto" w:sz="8" w:space="0"/>
              <w:bottom w:val="single" w:color="auto" w:sz="8" w:space="0"/>
              <w:right w:val="single" w:color="auto" w:sz="8" w:space="0"/>
            </w:tcBorders>
            <w:shd w:val="clear"/>
            <w:noWrap/>
            <w:tcMar>
              <w:left w:w="180" w:type="dxa"/>
              <w:right w:w="180" w:type="dxa"/>
            </w:tcMar>
            <w:vAlign w:val="center"/>
          </w:tcPr>
          <w:p w14:paraId="1435BCEA">
            <w:pPr>
              <w:pStyle w:val="8"/>
              <w:keepNext w:val="0"/>
              <w:keepLines w:val="0"/>
              <w:widowControl/>
              <w:suppressLineNumbers w:val="0"/>
              <w:spacing w:before="0" w:beforeAutospacing="1" w:after="0" w:afterAutospacing="1"/>
              <w:ind w:left="0" w:right="0"/>
              <w:rPr>
                <w:rFonts w:hint="default" w:ascii="Times New Roman Regular" w:hAnsi="Times New Roman Regular" w:cs="Times New Roman Regular"/>
              </w:rPr>
            </w:pPr>
            <w:r>
              <w:rPr>
                <w:rFonts w:hint="default" w:ascii="Times New Roman Regular" w:hAnsi="Times New Roman Regular" w:cs="Times New Roman Regular"/>
              </w:rPr>
              <w:t>Increased community preparedness, environmental health awareness, and disaster-risk awareness</w:t>
            </w:r>
          </w:p>
        </w:tc>
      </w:tr>
    </w:tbl>
    <w:p w14:paraId="41CCAAB4">
      <w:pPr>
        <w:rPr>
          <w:rFonts w:hint="default" w:ascii="Times New Roman Regular" w:hAnsi="Times New Roman Regular" w:cs="Times New Roman Regular"/>
        </w:rPr>
      </w:pPr>
    </w:p>
    <w:sectPr>
      <w:pgSz w:w="12240" w:h="20160"/>
      <w:pgMar w:top="1440" w:right="1800" w:bottom="1440" w:left="1800" w:header="720" w:footer="720" w:gutter="0"/>
      <w:pgBorders>
        <w:top w:val="none" w:sz="0" w:space="0"/>
        <w:left w:val="none" w:sz="0" w:space="0"/>
        <w:bottom w:val="none" w:sz="0" w:space="0"/>
        <w:right w:val="none" w:sz="0" w:space="0"/>
      </w:pgBorders>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SimHei">
    <w:altName w:val="黑体-简"/>
    <w:panose1 w:val="02010600030101010101"/>
    <w:charset w:val="00"/>
    <w:family w:val="auto"/>
    <w:pitch w:val="default"/>
    <w:sig w:usb0="00000001" w:usb1="080E0000" w:usb2="00000010" w:usb3="00000000" w:csb0="00040000" w:csb1="00000000"/>
  </w:font>
  <w:font w:name="Courier New">
    <w:panose1 w:val="02070609020205020404"/>
    <w:charset w:val="00"/>
    <w:family w:val="modern"/>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宋体-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6"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0000000000000000000"/>
    <w:charset w:val="86"/>
    <w:family w:val="auto"/>
    <w:pitch w:val="default"/>
    <w:sig w:usb0="8000002F" w:usb1="0800004A" w:usb2="00000000" w:usb3="00000000" w:csb0="203E0000" w:csb1="00000000"/>
  </w:font>
  <w:font w:name="Times New Roman Regular">
    <w:panose1 w:val="02020603050405020304"/>
    <w:charset w:val="00"/>
    <w:family w:val="auto"/>
    <w:pitch w:val="default"/>
    <w:sig w:usb0="E0002AEF" w:usb1="C0007841" w:usb2="00000009" w:usb3="00000000" w:csb0="400001FF" w:csb1="FFFF0000"/>
  </w:font>
  <w:font w:name="Symbol">
    <w:altName w:val="Kingsoft Sign"/>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Helvetica Neue Regular">
    <w:panose1 w:val="02000503000000020004"/>
    <w:charset w:val="00"/>
    <w:family w:val="auto"/>
    <w:pitch w:val="default"/>
    <w:sig w:usb0="E50002FF" w:usb1="500079DB" w:usb2="0000001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EA3117"/>
    <w:multiLevelType w:val="singleLevel"/>
    <w:tmpl w:val="DCEA3117"/>
    <w:lvl w:ilvl="0" w:tentative="0">
      <w:start w:val="1"/>
      <w:numFmt w:val="upperLetter"/>
      <w:suff w:val="space"/>
      <w:lvlText w:val="%1."/>
      <w:lvlJc w:val="left"/>
    </w:lvl>
  </w:abstractNum>
  <w:abstractNum w:abstractNumId="1">
    <w:nsid w:val="FEECFFBF"/>
    <w:multiLevelType w:val="multilevel"/>
    <w:tmpl w:val="FEECFFB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FFE71BFB"/>
    <w:multiLevelType w:val="multilevel"/>
    <w:tmpl w:val="FFE71BF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3FFF3CA5"/>
    <w:multiLevelType w:val="multilevel"/>
    <w:tmpl w:val="3FFF3CA5"/>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7BD0A6"/>
    <w:rsid w:val="777BD0A6"/>
    <w:rsid w:val="7F964F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outlineLvl w:val="0"/>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outlineLvl w:val="1"/>
    </w:pPr>
    <w:rPr>
      <w:rFonts w:hint="eastAsia" w:ascii="SimSun" w:hAnsi="SimSun" w:eastAsia="SimSun" w:cs="SimSun"/>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outlineLvl w:val="2"/>
    </w:pPr>
    <w:rPr>
      <w:rFonts w:hint="eastAsia" w:ascii="SimSun" w:hAnsi="SimSun" w:eastAsia="SimSun" w:cs="SimSun"/>
      <w:b/>
      <w:bCs/>
      <w:kern w:val="0"/>
      <w:sz w:val="27"/>
      <w:szCs w:val="27"/>
      <w:lang w:val="en-US" w:eastAsia="zh-CN" w:bidi="ar"/>
    </w:rPr>
  </w:style>
  <w:style w:type="character" w:default="1" w:styleId="5">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character" w:styleId="7">
    <w:name w:val="Emphasis"/>
    <w:basedOn w:val="5"/>
    <w:qFormat/>
    <w:uiPriority w:val="0"/>
    <w:rPr>
      <w:i/>
      <w:iCs/>
    </w:rPr>
  </w:style>
  <w:style w:type="paragraph" w:styleId="8">
    <w:name w:val="Normal (Web)"/>
    <w:basedOn w:val="1"/>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9">
    <w:name w:val="Strong"/>
    <w:basedOn w:val="5"/>
    <w:qFormat/>
    <w:uiPriority w:val="0"/>
    <w:rPr>
      <w:b/>
      <w:bCs/>
    </w:rPr>
  </w:style>
  <w:style w:type="character" w:customStyle="1" w:styleId="10">
    <w:name w:val="fill-line1"/>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6</TotalTime>
  <ScaleCrop>false</ScaleCrop>
  <LinksUpToDate>false</LinksUpToDate>
  <CharactersWithSpaces>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2026-09-22T21:18:00Z</dcterms:created>
  <dc:creator>WPS_1782028691</dc:creator>
  <cp:lastModifiedBy>WPS_1782028691</cp:lastModifiedBy>
  <dcterms:modified xsi:type="dcterms:W3CDTF">2026-09-22T21:42:16Z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1033-12.1.28496.28496</vt:lpwstr>
  </property>
  <property fmtid="{D5CDD505-2E9C-101B-9397-08002B2CF9AE}" pid="3" name="ICV">
    <vt:lpwstr>DB56A88BEBF93BB20B80B26A12AEF13B_41</vt:lpwstr>
  </property>
</Properties>
</file>