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6424" w14:textId="77777777" w:rsidR="00CA0E97" w:rsidRDefault="00CA0E97" w:rsidP="00CA0E97">
      <w:pPr>
        <w:pStyle w:val="NoSpacing"/>
        <w:jc w:val="center"/>
        <w:rPr>
          <w:rFonts w:asciiTheme="majorHAnsi" w:eastAsia="Times New Roman" w:hAnsiTheme="majorHAnsi" w:cstheme="majorHAnsi"/>
          <w:b/>
          <w:bCs/>
          <w:kern w:val="36"/>
          <w:sz w:val="21"/>
          <w:szCs w:val="21"/>
        </w:rPr>
      </w:pPr>
      <w:r>
        <w:rPr>
          <w:rFonts w:asciiTheme="majorHAnsi" w:eastAsia="Times New Roman" w:hAnsiTheme="majorHAnsi" w:cstheme="majorHAnsi"/>
          <w:b/>
          <w:bCs/>
          <w:sz w:val="21"/>
          <w:szCs w:val="21"/>
        </w:rPr>
        <w:t>RESEARCH EXTENSION PROJECT PROPOSAL</w:t>
      </w:r>
    </w:p>
    <w:p w14:paraId="0D89B769" w14:textId="77777777" w:rsidR="00CA0E97" w:rsidRDefault="00CA0E97" w:rsidP="00CA0E97">
      <w:pPr>
        <w:pStyle w:val="NoSpacing"/>
        <w:jc w:val="center"/>
        <w:rPr>
          <w:rFonts w:asciiTheme="majorHAnsi" w:eastAsia="Times New Roman" w:hAnsiTheme="majorHAnsi" w:cstheme="majorHAnsi"/>
          <w:color w:val="000000"/>
          <w:sz w:val="21"/>
          <w:szCs w:val="21"/>
        </w:rPr>
      </w:pPr>
    </w:p>
    <w:p w14:paraId="774DF40F" w14:textId="77777777" w:rsidR="00CA0E97" w:rsidRDefault="00CA0E97" w:rsidP="00CA0E97">
      <w:pPr>
        <w:pStyle w:val="NoSpacing"/>
        <w:jc w:val="cente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PART I</w:t>
      </w:r>
    </w:p>
    <w:p w14:paraId="0498D724" w14:textId="77777777" w:rsidR="00CA0E97" w:rsidRDefault="00CA0E97" w:rsidP="00CA0E97">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PROJECT SUMMARY</w:t>
      </w:r>
    </w:p>
    <w:tbl>
      <w:tblPr>
        <w:tblW w:w="5000" w:type="pct"/>
        <w:tblLook w:val="04A0" w:firstRow="1" w:lastRow="0" w:firstColumn="1" w:lastColumn="0" w:noHBand="0" w:noVBand="1"/>
      </w:tblPr>
      <w:tblGrid>
        <w:gridCol w:w="2118"/>
        <w:gridCol w:w="7510"/>
      </w:tblGrid>
      <w:tr w:rsidR="00CA0E97" w14:paraId="5ED1678E" w14:textId="77777777" w:rsidTr="002D11E3">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768244EF"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A. Title: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E9B824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KUSOG: Knowledge, Understanding, Services, and Opportunities for Good Health. </w:t>
            </w:r>
          </w:p>
          <w:p w14:paraId="2EE0D427"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w:t>
            </w:r>
            <w:proofErr w:type="spellStart"/>
            <w:r>
              <w:rPr>
                <w:rFonts w:asciiTheme="majorHAnsi" w:eastAsia="Times New Roman" w:hAnsiTheme="majorHAnsi" w:cstheme="majorHAnsi"/>
                <w:b/>
                <w:bCs/>
                <w:color w:val="000000"/>
                <w:sz w:val="21"/>
                <w:szCs w:val="21"/>
              </w:rPr>
              <w:t>Kusog</w:t>
            </w:r>
            <w:proofErr w:type="spellEnd"/>
            <w:r>
              <w:rPr>
                <w:rFonts w:asciiTheme="majorHAnsi" w:eastAsia="Times New Roman" w:hAnsiTheme="majorHAnsi" w:cstheme="majorHAnsi"/>
                <w:b/>
                <w:bCs/>
                <w:color w:val="000000"/>
                <w:sz w:val="21"/>
                <w:szCs w:val="21"/>
              </w:rPr>
              <w:t xml:space="preserve"> </w:t>
            </w:r>
            <w:proofErr w:type="spellStart"/>
            <w:r>
              <w:rPr>
                <w:rFonts w:asciiTheme="majorHAnsi" w:eastAsia="Times New Roman" w:hAnsiTheme="majorHAnsi" w:cstheme="majorHAnsi"/>
                <w:b/>
                <w:bCs/>
                <w:color w:val="000000"/>
                <w:sz w:val="21"/>
                <w:szCs w:val="21"/>
              </w:rPr>
              <w:t>sa</w:t>
            </w:r>
            <w:proofErr w:type="spellEnd"/>
            <w:r>
              <w:rPr>
                <w:rFonts w:asciiTheme="majorHAnsi" w:eastAsia="Times New Roman" w:hAnsiTheme="majorHAnsi" w:cstheme="majorHAnsi"/>
                <w:b/>
                <w:bCs/>
                <w:color w:val="000000"/>
                <w:sz w:val="21"/>
                <w:szCs w:val="21"/>
              </w:rPr>
              <w:t xml:space="preserve"> </w:t>
            </w:r>
            <w:proofErr w:type="spellStart"/>
            <w:r>
              <w:rPr>
                <w:rFonts w:asciiTheme="majorHAnsi" w:eastAsia="Times New Roman" w:hAnsiTheme="majorHAnsi" w:cstheme="majorHAnsi"/>
                <w:b/>
                <w:bCs/>
                <w:color w:val="000000"/>
                <w:sz w:val="21"/>
                <w:szCs w:val="21"/>
              </w:rPr>
              <w:t>Panglawas</w:t>
            </w:r>
            <w:proofErr w:type="spellEnd"/>
            <w:r>
              <w:rPr>
                <w:rFonts w:asciiTheme="majorHAnsi" w:eastAsia="Times New Roman" w:hAnsiTheme="majorHAnsi" w:cstheme="majorHAnsi"/>
                <w:b/>
                <w:bCs/>
                <w:color w:val="000000"/>
                <w:sz w:val="21"/>
                <w:szCs w:val="21"/>
              </w:rPr>
              <w:t xml:space="preserve">, </w:t>
            </w:r>
            <w:proofErr w:type="spellStart"/>
            <w:r>
              <w:rPr>
                <w:rFonts w:asciiTheme="majorHAnsi" w:eastAsia="Times New Roman" w:hAnsiTheme="majorHAnsi" w:cstheme="majorHAnsi"/>
                <w:b/>
                <w:bCs/>
                <w:color w:val="000000"/>
                <w:sz w:val="21"/>
                <w:szCs w:val="21"/>
              </w:rPr>
              <w:t>Kusog</w:t>
            </w:r>
            <w:proofErr w:type="spellEnd"/>
            <w:r>
              <w:rPr>
                <w:rFonts w:asciiTheme="majorHAnsi" w:eastAsia="Times New Roman" w:hAnsiTheme="majorHAnsi" w:cstheme="majorHAnsi"/>
                <w:b/>
                <w:bCs/>
                <w:color w:val="000000"/>
                <w:sz w:val="21"/>
                <w:szCs w:val="21"/>
              </w:rPr>
              <w:t xml:space="preserve"> </w:t>
            </w:r>
            <w:proofErr w:type="spellStart"/>
            <w:r>
              <w:rPr>
                <w:rFonts w:asciiTheme="majorHAnsi" w:eastAsia="Times New Roman" w:hAnsiTheme="majorHAnsi" w:cstheme="majorHAnsi"/>
                <w:b/>
                <w:bCs/>
                <w:color w:val="000000"/>
                <w:sz w:val="21"/>
                <w:szCs w:val="21"/>
              </w:rPr>
              <w:t>sa</w:t>
            </w:r>
            <w:proofErr w:type="spellEnd"/>
            <w:r>
              <w:rPr>
                <w:rFonts w:asciiTheme="majorHAnsi" w:eastAsia="Times New Roman" w:hAnsiTheme="majorHAnsi" w:cstheme="majorHAnsi"/>
                <w:b/>
                <w:bCs/>
                <w:color w:val="000000"/>
                <w:sz w:val="21"/>
                <w:szCs w:val="21"/>
              </w:rPr>
              <w:t xml:space="preserve"> </w:t>
            </w:r>
            <w:proofErr w:type="spellStart"/>
            <w:r>
              <w:rPr>
                <w:rFonts w:asciiTheme="majorHAnsi" w:eastAsia="Times New Roman" w:hAnsiTheme="majorHAnsi" w:cstheme="majorHAnsi"/>
                <w:b/>
                <w:bCs/>
                <w:color w:val="000000"/>
                <w:sz w:val="21"/>
                <w:szCs w:val="21"/>
              </w:rPr>
              <w:t>Komunidad</w:t>
            </w:r>
            <w:proofErr w:type="spellEnd"/>
            <w:r>
              <w:rPr>
                <w:rFonts w:asciiTheme="majorHAnsi" w:eastAsia="Times New Roman" w:hAnsiTheme="majorHAnsi" w:cstheme="majorHAnsi"/>
                <w:b/>
                <w:bCs/>
                <w:color w:val="000000"/>
                <w:sz w:val="21"/>
                <w:szCs w:val="21"/>
              </w:rPr>
              <w:t>”</w:t>
            </w:r>
          </w:p>
          <w:p w14:paraId="02379C3C" w14:textId="77777777" w:rsidR="00CA0E97" w:rsidRDefault="00CA0E97" w:rsidP="002D11E3">
            <w:pPr>
              <w:pStyle w:val="NoSpacing"/>
              <w:rPr>
                <w:rFonts w:asciiTheme="majorHAnsi" w:eastAsia="Times New Roman" w:hAnsiTheme="majorHAnsi" w:cstheme="majorHAnsi"/>
                <w:color w:val="000000"/>
                <w:sz w:val="21"/>
                <w:szCs w:val="21"/>
              </w:rPr>
            </w:pPr>
          </w:p>
          <w:p w14:paraId="2A7168E3"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The KUSOG Extension Project is a </w:t>
            </w:r>
            <w:r>
              <w:rPr>
                <w:rFonts w:asciiTheme="majorHAnsi" w:eastAsia="Times New Roman" w:hAnsiTheme="majorHAnsi" w:cstheme="majorHAnsi"/>
                <w:b/>
                <w:bCs/>
                <w:color w:val="000000"/>
                <w:sz w:val="21"/>
                <w:szCs w:val="21"/>
              </w:rPr>
              <w:t>Health for All</w:t>
            </w:r>
            <w:r>
              <w:rPr>
                <w:rFonts w:asciiTheme="majorHAnsi" w:eastAsia="Times New Roman" w:hAnsiTheme="majorHAnsi" w:cstheme="majorHAnsi"/>
                <w:color w:val="000000"/>
                <w:sz w:val="21"/>
                <w:szCs w:val="21"/>
              </w:rPr>
              <w:t xml:space="preserve"> initiative designed to promote health literacy, disease prevention, early recognition of health concerns, appropriate health-seeking behavior, and awareness and navigation of primary health care services among community members across the life course.</w:t>
            </w:r>
          </w:p>
          <w:p w14:paraId="5BD1A40F" w14:textId="77777777" w:rsidR="00CA0E97" w:rsidRDefault="00CA0E97" w:rsidP="002D11E3">
            <w:pPr>
              <w:pStyle w:val="NoSpacing"/>
              <w:rPr>
                <w:rFonts w:asciiTheme="majorHAnsi" w:eastAsia="Times New Roman" w:hAnsiTheme="majorHAnsi" w:cstheme="majorHAnsi"/>
                <w:color w:val="000000"/>
                <w:sz w:val="21"/>
                <w:szCs w:val="21"/>
              </w:rPr>
            </w:pPr>
          </w:p>
          <w:p w14:paraId="148FAAE5"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The project will cover children, adolescents, young adults, adults, and older adults, including families, caregivers, and vulnerable community members. It will translate nursing knowledge and research findings into community-based health education and extension interventions.</w:t>
            </w:r>
          </w:p>
          <w:p w14:paraId="669BC5B1" w14:textId="77777777" w:rsidR="00CA0E97" w:rsidRDefault="00CA0E97" w:rsidP="002D11E3">
            <w:pPr>
              <w:pStyle w:val="NoSpacing"/>
              <w:rPr>
                <w:rFonts w:asciiTheme="majorHAnsi" w:eastAsia="Times New Roman" w:hAnsiTheme="majorHAnsi" w:cstheme="majorHAnsi"/>
                <w:color w:val="000000"/>
                <w:sz w:val="21"/>
                <w:szCs w:val="21"/>
              </w:rPr>
            </w:pPr>
          </w:p>
          <w:p w14:paraId="00FC017A"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The project is anchored on the Philippine Universal Health Care (UHC) Act, Republic Act No. 11223, and the Department of Health's primary health care approach. The UHC implementing rules identify the primary care provider as the initial and continuing point of contact and navigator within the health care delivery system. </w:t>
            </w:r>
          </w:p>
        </w:tc>
      </w:tr>
      <w:tr w:rsidR="00CA0E97" w14:paraId="21B11944" w14:textId="77777777" w:rsidTr="002D11E3">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227EA24F"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B. Implementer:</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F2568F8" w14:textId="77777777" w:rsidR="00CA0E97" w:rsidRDefault="00CA0E97" w:rsidP="002D11E3">
            <w:pPr>
              <w:pStyle w:val="NoSpacing"/>
              <w:numPr>
                <w:ilvl w:val="0"/>
                <w:numId w:val="1"/>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J.H CERILLES STATE COLLEGE</w:t>
            </w:r>
          </w:p>
          <w:p w14:paraId="0938DBBF" w14:textId="77777777" w:rsidR="00CA0E97" w:rsidRDefault="00CA0E97" w:rsidP="002D11E3">
            <w:pPr>
              <w:pStyle w:val="NoSpacing"/>
              <w:numPr>
                <w:ilvl w:val="0"/>
                <w:numId w:val="1"/>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EXTENSION OFFICER</w:t>
            </w:r>
          </w:p>
          <w:p w14:paraId="6552E65B" w14:textId="77777777" w:rsidR="00CA0E97" w:rsidRDefault="00CA0E97" w:rsidP="002D11E3">
            <w:pPr>
              <w:pStyle w:val="NoSpacing"/>
              <w:numPr>
                <w:ilvl w:val="0"/>
                <w:numId w:val="1"/>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SCHOOL OF NURSING FACULTY</w:t>
            </w:r>
          </w:p>
          <w:p w14:paraId="385C2533" w14:textId="77777777" w:rsidR="00CA0E97" w:rsidRDefault="00CA0E97" w:rsidP="002D11E3">
            <w:pPr>
              <w:pStyle w:val="NoSpacing"/>
              <w:numPr>
                <w:ilvl w:val="0"/>
                <w:numId w:val="1"/>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SCHOOL OF NURSING STUDENTS</w:t>
            </w:r>
          </w:p>
          <w:p w14:paraId="420BDDD5" w14:textId="77777777" w:rsidR="00CA0E97" w:rsidRDefault="00CA0E97" w:rsidP="002D11E3">
            <w:pPr>
              <w:pStyle w:val="NoSpacing"/>
              <w:numPr>
                <w:ilvl w:val="0"/>
                <w:numId w:val="1"/>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LGU</w:t>
            </w:r>
          </w:p>
          <w:p w14:paraId="5C4A1915" w14:textId="77777777" w:rsidR="00CA0E97" w:rsidRDefault="00CA0E97" w:rsidP="002D11E3">
            <w:pPr>
              <w:pStyle w:val="NoSpacing"/>
              <w:numPr>
                <w:ilvl w:val="0"/>
                <w:numId w:val="1"/>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BNS/BHW/BARANGAY HEALTH CENTER</w:t>
            </w:r>
          </w:p>
        </w:tc>
      </w:tr>
      <w:tr w:rsidR="00CA0E97" w14:paraId="449F56F4" w14:textId="77777777" w:rsidTr="002D11E3">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222308FE"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C. Project Team</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51CB019" w14:textId="77777777" w:rsidR="00CA0E97" w:rsidRDefault="00CA0E97" w:rsidP="002D11E3">
            <w:pPr>
              <w:pStyle w:val="NoSpacing"/>
              <w:numPr>
                <w:ilvl w:val="0"/>
                <w:numId w:val="2"/>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MICHAEL JAY ALMEROL RN, MN – PROJECT LEADER</w:t>
            </w:r>
          </w:p>
          <w:p w14:paraId="289C6EEC" w14:textId="77777777" w:rsidR="00CA0E97" w:rsidRDefault="00CA0E97" w:rsidP="002D11E3">
            <w:pPr>
              <w:pStyle w:val="NoSpacing"/>
              <w:numPr>
                <w:ilvl w:val="0"/>
                <w:numId w:val="2"/>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MILKY ESCOBER RN, LPT, MAN – MEMBER </w:t>
            </w:r>
          </w:p>
          <w:p w14:paraId="14582449" w14:textId="77777777" w:rsidR="00CA0E97" w:rsidRDefault="00CA0E97" w:rsidP="002D11E3">
            <w:pPr>
              <w:pStyle w:val="NoSpacing"/>
              <w:numPr>
                <w:ilvl w:val="0"/>
                <w:numId w:val="2"/>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SCHOOL OF NURSING FACULTY – PROJECT MEBERS</w:t>
            </w:r>
          </w:p>
          <w:p w14:paraId="1474C21D" w14:textId="77777777" w:rsidR="00CA0E97" w:rsidRDefault="00CA0E97" w:rsidP="002D11E3">
            <w:pPr>
              <w:pStyle w:val="NoSpacing"/>
              <w:numPr>
                <w:ilvl w:val="0"/>
                <w:numId w:val="2"/>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JHCSC NURSING STUDENT – EXTENSION VOLUNTEERS</w:t>
            </w:r>
          </w:p>
          <w:p w14:paraId="5E4791D9" w14:textId="77777777" w:rsidR="00CA0E97" w:rsidRDefault="00CA0E97" w:rsidP="002D11E3">
            <w:pPr>
              <w:pStyle w:val="NoSpacing"/>
              <w:numPr>
                <w:ilvl w:val="0"/>
                <w:numId w:val="2"/>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BARANGAY WORKERS – COMMUNITY PARTNERS</w:t>
            </w:r>
          </w:p>
          <w:p w14:paraId="7AB31E53" w14:textId="77777777" w:rsidR="00CA0E97" w:rsidRDefault="00CA0E97" w:rsidP="002D11E3">
            <w:pPr>
              <w:pStyle w:val="NoSpacing"/>
              <w:numPr>
                <w:ilvl w:val="0"/>
                <w:numId w:val="2"/>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RHU / CHO – TECHNICAL PARTNERS</w:t>
            </w:r>
          </w:p>
        </w:tc>
      </w:tr>
      <w:tr w:rsidR="00CA0E97" w14:paraId="44ACDE11" w14:textId="77777777" w:rsidTr="002D11E3">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2FD7B1C6"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D. Target Group</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0CBB853"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The project will directly benefit community members across the life course, including:</w:t>
            </w:r>
          </w:p>
          <w:p w14:paraId="226AEEE4" w14:textId="77777777" w:rsidR="00CA0E97" w:rsidRDefault="00CA0E97" w:rsidP="002D11E3">
            <w:pPr>
              <w:pStyle w:val="NoSpacing"/>
              <w:numPr>
                <w:ilvl w:val="0"/>
                <w:numId w:val="3"/>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Children; </w:t>
            </w:r>
          </w:p>
          <w:p w14:paraId="7B5B7725" w14:textId="77777777" w:rsidR="00CA0E97" w:rsidRDefault="00CA0E97" w:rsidP="002D11E3">
            <w:pPr>
              <w:pStyle w:val="NoSpacing"/>
              <w:numPr>
                <w:ilvl w:val="0"/>
                <w:numId w:val="3"/>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Adolescents; </w:t>
            </w:r>
          </w:p>
          <w:p w14:paraId="7EF6B55F" w14:textId="77777777" w:rsidR="00CA0E97" w:rsidRDefault="00CA0E97" w:rsidP="002D11E3">
            <w:pPr>
              <w:pStyle w:val="NoSpacing"/>
              <w:numPr>
                <w:ilvl w:val="0"/>
                <w:numId w:val="3"/>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Young adults; </w:t>
            </w:r>
          </w:p>
          <w:p w14:paraId="5998E789" w14:textId="77777777" w:rsidR="00CA0E97" w:rsidRDefault="00CA0E97" w:rsidP="002D11E3">
            <w:pPr>
              <w:pStyle w:val="NoSpacing"/>
              <w:numPr>
                <w:ilvl w:val="0"/>
                <w:numId w:val="3"/>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Adults; </w:t>
            </w:r>
          </w:p>
          <w:p w14:paraId="59F74D82" w14:textId="77777777" w:rsidR="00CA0E97" w:rsidRDefault="00CA0E97" w:rsidP="002D11E3">
            <w:pPr>
              <w:pStyle w:val="NoSpacing"/>
              <w:numPr>
                <w:ilvl w:val="0"/>
                <w:numId w:val="3"/>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Older adults; </w:t>
            </w:r>
          </w:p>
          <w:p w14:paraId="7F654CCA" w14:textId="77777777" w:rsidR="00CA0E97" w:rsidRDefault="00CA0E97" w:rsidP="002D11E3">
            <w:pPr>
              <w:pStyle w:val="NoSpacing"/>
              <w:numPr>
                <w:ilvl w:val="0"/>
                <w:numId w:val="3"/>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Families and caregivers; </w:t>
            </w:r>
          </w:p>
          <w:p w14:paraId="6C3FD60B" w14:textId="77777777" w:rsidR="00CA0E97" w:rsidRDefault="00CA0E97" w:rsidP="002D11E3">
            <w:pPr>
              <w:pStyle w:val="NoSpacing"/>
              <w:numPr>
                <w:ilvl w:val="0"/>
                <w:numId w:val="3"/>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Persons with identified health risks; </w:t>
            </w:r>
          </w:p>
          <w:p w14:paraId="68035D27" w14:textId="77777777" w:rsidR="00CA0E97" w:rsidRDefault="00CA0E97" w:rsidP="002D11E3">
            <w:pPr>
              <w:pStyle w:val="NoSpacing"/>
              <w:numPr>
                <w:ilvl w:val="0"/>
                <w:numId w:val="3"/>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Vulnerable and underserved community members; and </w:t>
            </w:r>
          </w:p>
          <w:p w14:paraId="6419966E" w14:textId="77777777" w:rsidR="00CA0E97" w:rsidRDefault="00CA0E97" w:rsidP="002D11E3">
            <w:pPr>
              <w:pStyle w:val="NoSpacing"/>
              <w:numPr>
                <w:ilvl w:val="0"/>
                <w:numId w:val="3"/>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lastRenderedPageBreak/>
              <w:t>Community health volunteers and Barangay Health Workers.</w:t>
            </w:r>
            <w:r>
              <w:rPr>
                <w:rFonts w:asciiTheme="majorHAnsi" w:eastAsia="Times New Roman" w:hAnsiTheme="majorHAnsi" w:cstheme="majorHAnsi"/>
                <w:color w:val="000000"/>
                <w:sz w:val="21"/>
                <w:szCs w:val="21"/>
              </w:rPr>
              <w:br/>
            </w:r>
            <w:r>
              <w:rPr>
                <w:rFonts w:asciiTheme="majorHAnsi" w:eastAsia="Times New Roman" w:hAnsiTheme="majorHAnsi" w:cstheme="majorHAnsi"/>
                <w:color w:val="000000"/>
                <w:sz w:val="21"/>
                <w:szCs w:val="21"/>
              </w:rPr>
              <w:br/>
              <w:t> </w:t>
            </w:r>
          </w:p>
        </w:tc>
      </w:tr>
      <w:tr w:rsidR="00CA0E97" w14:paraId="4B57A885" w14:textId="77777777" w:rsidTr="002D11E3">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36CFFF6E"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lastRenderedPageBreak/>
              <w:t>E. Cooperating Agencies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486DCDA"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1. J.H. </w:t>
            </w:r>
            <w:proofErr w:type="spellStart"/>
            <w:r>
              <w:rPr>
                <w:rFonts w:asciiTheme="majorHAnsi" w:eastAsia="Times New Roman" w:hAnsiTheme="majorHAnsi" w:cstheme="majorHAnsi"/>
                <w:color w:val="000000"/>
                <w:sz w:val="21"/>
                <w:szCs w:val="21"/>
              </w:rPr>
              <w:t>Cerilles</w:t>
            </w:r>
            <w:proofErr w:type="spellEnd"/>
            <w:r>
              <w:rPr>
                <w:rFonts w:asciiTheme="majorHAnsi" w:eastAsia="Times New Roman" w:hAnsiTheme="majorHAnsi" w:cstheme="majorHAnsi"/>
                <w:color w:val="000000"/>
                <w:sz w:val="21"/>
                <w:szCs w:val="21"/>
              </w:rPr>
              <w:t xml:space="preserve"> State College – Extension Office; </w:t>
            </w:r>
          </w:p>
          <w:p w14:paraId="24D37263"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2. JHCSC – School of Nursing; </w:t>
            </w:r>
          </w:p>
          <w:p w14:paraId="5ED7F59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3. Local Government Unit of the selected project site; </w:t>
            </w:r>
          </w:p>
          <w:p w14:paraId="1DF663F9"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4. Barangay Council; </w:t>
            </w:r>
          </w:p>
          <w:p w14:paraId="10661C6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5. Barangay Health Workers; </w:t>
            </w:r>
          </w:p>
          <w:p w14:paraId="385D5AB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6. Rural Health Unit/City Health Office; </w:t>
            </w:r>
          </w:p>
          <w:p w14:paraId="706CEAA6"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7. Department of Health – Center for Health Development.</w:t>
            </w:r>
          </w:p>
          <w:p w14:paraId="1D72E4E8"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8. Local schools and educational institutions; </w:t>
            </w:r>
          </w:p>
          <w:p w14:paraId="5BC462D5"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9. Community organizations; and </w:t>
            </w:r>
          </w:p>
          <w:p w14:paraId="18107B52"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10. Other public or private organizations that may provide technical, logistical, or financial support.</w:t>
            </w:r>
          </w:p>
        </w:tc>
      </w:tr>
      <w:tr w:rsidR="00CA0E97" w14:paraId="7F0F1C71" w14:textId="77777777" w:rsidTr="002D11E3">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7CE8C4D6"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F. Timeframe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8D453BC"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Twelve (12) Months</w:t>
            </w:r>
          </w:p>
          <w:p w14:paraId="549D0ED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The project will be implemented through the following phases:</w:t>
            </w:r>
          </w:p>
          <w:p w14:paraId="28501DA3" w14:textId="77777777" w:rsidR="00CA0E97" w:rsidRDefault="00CA0E97" w:rsidP="002D11E3">
            <w:pPr>
              <w:pStyle w:val="NoSpacing"/>
              <w:numPr>
                <w:ilvl w:val="0"/>
                <w:numId w:val="4"/>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Community health needs assessment; </w:t>
            </w:r>
          </w:p>
          <w:p w14:paraId="248DB887" w14:textId="77777777" w:rsidR="00CA0E97" w:rsidRDefault="00CA0E97" w:rsidP="002D11E3">
            <w:pPr>
              <w:pStyle w:val="NoSpacing"/>
              <w:numPr>
                <w:ilvl w:val="0"/>
                <w:numId w:val="4"/>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Stakeholder consultation; </w:t>
            </w:r>
          </w:p>
          <w:p w14:paraId="6BECE35D" w14:textId="77777777" w:rsidR="00CA0E97" w:rsidRDefault="00CA0E97" w:rsidP="002D11E3">
            <w:pPr>
              <w:pStyle w:val="NoSpacing"/>
              <w:numPr>
                <w:ilvl w:val="0"/>
                <w:numId w:val="4"/>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Program development; </w:t>
            </w:r>
          </w:p>
          <w:p w14:paraId="79DB5C32" w14:textId="77777777" w:rsidR="00CA0E97" w:rsidRDefault="00CA0E97" w:rsidP="002D11E3">
            <w:pPr>
              <w:pStyle w:val="NoSpacing"/>
              <w:numPr>
                <w:ilvl w:val="0"/>
                <w:numId w:val="4"/>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Capacity building; </w:t>
            </w:r>
          </w:p>
          <w:p w14:paraId="6F6CDC47" w14:textId="77777777" w:rsidR="00CA0E97" w:rsidRDefault="00CA0E97" w:rsidP="002D11E3">
            <w:pPr>
              <w:pStyle w:val="NoSpacing"/>
              <w:numPr>
                <w:ilvl w:val="0"/>
                <w:numId w:val="4"/>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Health education; </w:t>
            </w:r>
          </w:p>
          <w:p w14:paraId="3E4B8235" w14:textId="77777777" w:rsidR="00CA0E97" w:rsidRDefault="00CA0E97" w:rsidP="002D11E3">
            <w:pPr>
              <w:pStyle w:val="NoSpacing"/>
              <w:numPr>
                <w:ilvl w:val="0"/>
                <w:numId w:val="4"/>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Community health promotion; </w:t>
            </w:r>
          </w:p>
          <w:p w14:paraId="71CF132D" w14:textId="77777777" w:rsidR="00CA0E97" w:rsidRDefault="00CA0E97" w:rsidP="002D11E3">
            <w:pPr>
              <w:pStyle w:val="NoSpacing"/>
              <w:numPr>
                <w:ilvl w:val="0"/>
                <w:numId w:val="4"/>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Primary health care/UHC orientation; </w:t>
            </w:r>
          </w:p>
          <w:p w14:paraId="301FA314" w14:textId="77777777" w:rsidR="00CA0E97" w:rsidRDefault="00CA0E97" w:rsidP="002D11E3">
            <w:pPr>
              <w:pStyle w:val="NoSpacing"/>
              <w:numPr>
                <w:ilvl w:val="0"/>
                <w:numId w:val="4"/>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Referral and health-navigation education; </w:t>
            </w:r>
          </w:p>
          <w:p w14:paraId="48C00850" w14:textId="77777777" w:rsidR="00CA0E97" w:rsidRDefault="00CA0E97" w:rsidP="002D11E3">
            <w:pPr>
              <w:pStyle w:val="NoSpacing"/>
              <w:numPr>
                <w:ilvl w:val="0"/>
                <w:numId w:val="4"/>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Monitoring and evaluation; and </w:t>
            </w:r>
          </w:p>
          <w:p w14:paraId="0A0BBAEF" w14:textId="77777777" w:rsidR="00CA0E97" w:rsidRDefault="00CA0E97" w:rsidP="002D11E3">
            <w:pPr>
              <w:pStyle w:val="NoSpacing"/>
              <w:numPr>
                <w:ilvl w:val="0"/>
                <w:numId w:val="4"/>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Sustainability planning.</w:t>
            </w:r>
            <w:r>
              <w:rPr>
                <w:rFonts w:asciiTheme="majorHAnsi" w:eastAsia="Times New Roman" w:hAnsiTheme="majorHAnsi" w:cstheme="majorHAnsi"/>
                <w:color w:val="000000"/>
                <w:sz w:val="21"/>
                <w:szCs w:val="21"/>
              </w:rPr>
              <w:br/>
              <w:t> </w:t>
            </w:r>
          </w:p>
        </w:tc>
      </w:tr>
      <w:tr w:rsidR="00CA0E97" w14:paraId="46C1AFC9" w14:textId="77777777" w:rsidTr="002D11E3">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01C30F0B"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G. Financial Requirement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3324D35E"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Estimated Total Budget: ₱71,000.00</w:t>
            </w:r>
          </w:p>
          <w:p w14:paraId="26CD83BC" w14:textId="77777777" w:rsidR="00CA0E97" w:rsidRDefault="00CA0E97" w:rsidP="002D11E3">
            <w:pPr>
              <w:pStyle w:val="NoSpacing"/>
              <w:rPr>
                <w:rFonts w:asciiTheme="majorHAnsi" w:eastAsia="Times New Roman" w:hAnsiTheme="majorHAnsi" w:cstheme="majorHAnsi"/>
                <w:color w:val="000000"/>
                <w:sz w:val="21"/>
                <w:szCs w:val="21"/>
              </w:rPr>
            </w:pPr>
          </w:p>
          <w:p w14:paraId="354391D3" w14:textId="77777777" w:rsidR="00CA0E97" w:rsidRDefault="00CA0E97" w:rsidP="002D11E3">
            <w:pPr>
              <w:pStyle w:val="NoSpacing"/>
              <w:rPr>
                <w:rFonts w:asciiTheme="majorHAnsi" w:eastAsia="Times New Roman" w:hAnsiTheme="majorHAnsi" w:cstheme="majorHAnsi"/>
                <w:color w:val="000000"/>
                <w:sz w:val="21"/>
                <w:szCs w:val="21"/>
              </w:rPr>
            </w:pPr>
          </w:p>
          <w:p w14:paraId="7C3E0CE9" w14:textId="77777777" w:rsidR="00CA0E97" w:rsidRDefault="00CA0E97" w:rsidP="002D11E3">
            <w:pPr>
              <w:pStyle w:val="NoSpacing"/>
              <w:rPr>
                <w:rFonts w:asciiTheme="majorHAnsi" w:eastAsia="Times New Roman" w:hAnsiTheme="majorHAnsi" w:cstheme="majorHAnsi"/>
                <w:color w:val="000000"/>
                <w:sz w:val="21"/>
                <w:szCs w:val="21"/>
              </w:rPr>
            </w:pPr>
          </w:p>
          <w:p w14:paraId="73824EDD" w14:textId="77777777" w:rsidR="00CA0E97" w:rsidRDefault="00CA0E97" w:rsidP="002D11E3">
            <w:pPr>
              <w:pStyle w:val="NoSpacing"/>
              <w:rPr>
                <w:rFonts w:asciiTheme="majorHAnsi" w:eastAsia="Times New Roman" w:hAnsiTheme="majorHAnsi" w:cstheme="majorHAnsi"/>
                <w:color w:val="000000"/>
                <w:sz w:val="21"/>
                <w:szCs w:val="21"/>
              </w:rPr>
            </w:pPr>
          </w:p>
          <w:p w14:paraId="691856D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The projected budget will cover:</w:t>
            </w:r>
          </w:p>
          <w:p w14:paraId="65C7645E" w14:textId="77777777" w:rsidR="00CA0E97" w:rsidRDefault="00CA0E97" w:rsidP="002D11E3">
            <w:pPr>
              <w:pStyle w:val="NoSpacing"/>
              <w:numPr>
                <w:ilvl w:val="0"/>
                <w:numId w:val="5"/>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supplies; </w:t>
            </w:r>
          </w:p>
          <w:p w14:paraId="2D625F30" w14:textId="77777777" w:rsidR="00CA0E97" w:rsidRDefault="00CA0E97" w:rsidP="002D11E3">
            <w:pPr>
              <w:pStyle w:val="NoSpacing"/>
              <w:numPr>
                <w:ilvl w:val="0"/>
                <w:numId w:val="5"/>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communication; </w:t>
            </w:r>
          </w:p>
          <w:p w14:paraId="31EA83A3" w14:textId="77777777" w:rsidR="00CA0E97" w:rsidRDefault="00CA0E97" w:rsidP="002D11E3">
            <w:pPr>
              <w:pStyle w:val="NoSpacing"/>
              <w:numPr>
                <w:ilvl w:val="0"/>
                <w:numId w:val="5"/>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IEC materials; </w:t>
            </w:r>
          </w:p>
          <w:p w14:paraId="0CC8DDD5" w14:textId="77777777" w:rsidR="00CA0E97" w:rsidRDefault="00CA0E97" w:rsidP="002D11E3">
            <w:pPr>
              <w:pStyle w:val="NoSpacing"/>
              <w:numPr>
                <w:ilvl w:val="0"/>
                <w:numId w:val="5"/>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documentation; </w:t>
            </w:r>
          </w:p>
          <w:p w14:paraId="10F2F126" w14:textId="77777777" w:rsidR="00CA0E97" w:rsidRDefault="00CA0E97" w:rsidP="002D11E3">
            <w:pPr>
              <w:pStyle w:val="NoSpacing"/>
              <w:numPr>
                <w:ilvl w:val="0"/>
                <w:numId w:val="5"/>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training materials; </w:t>
            </w:r>
          </w:p>
          <w:p w14:paraId="5319FE31" w14:textId="77777777" w:rsidR="00CA0E97" w:rsidRDefault="00CA0E97" w:rsidP="002D11E3">
            <w:pPr>
              <w:pStyle w:val="NoSpacing"/>
              <w:numPr>
                <w:ilvl w:val="0"/>
                <w:numId w:val="5"/>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transportation; </w:t>
            </w:r>
          </w:p>
          <w:p w14:paraId="27399144" w14:textId="77777777" w:rsidR="00CA0E97" w:rsidRDefault="00CA0E97" w:rsidP="002D11E3">
            <w:pPr>
              <w:pStyle w:val="NoSpacing"/>
              <w:numPr>
                <w:ilvl w:val="0"/>
                <w:numId w:val="5"/>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food expenses; </w:t>
            </w:r>
          </w:p>
          <w:p w14:paraId="6686B405" w14:textId="77777777" w:rsidR="00CA0E97" w:rsidRDefault="00CA0E97" w:rsidP="002D11E3">
            <w:pPr>
              <w:pStyle w:val="NoSpacing"/>
              <w:numPr>
                <w:ilvl w:val="0"/>
                <w:numId w:val="5"/>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activity logistics; </w:t>
            </w:r>
          </w:p>
          <w:p w14:paraId="58B5073F" w14:textId="77777777" w:rsidR="00CA0E97" w:rsidRDefault="00CA0E97" w:rsidP="002D11E3">
            <w:pPr>
              <w:pStyle w:val="NoSpacing"/>
              <w:numPr>
                <w:ilvl w:val="0"/>
                <w:numId w:val="5"/>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monitoring and evaluation; and </w:t>
            </w:r>
          </w:p>
          <w:p w14:paraId="33E3D727" w14:textId="77777777" w:rsidR="00CA0E97" w:rsidRDefault="00CA0E97" w:rsidP="002D11E3">
            <w:pPr>
              <w:pStyle w:val="NoSpacing"/>
              <w:numPr>
                <w:ilvl w:val="0"/>
                <w:numId w:val="5"/>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miscellaneous expenses.</w:t>
            </w:r>
            <w:r>
              <w:rPr>
                <w:rFonts w:asciiTheme="majorHAnsi" w:eastAsia="Times New Roman" w:hAnsiTheme="majorHAnsi" w:cstheme="majorHAnsi"/>
                <w:color w:val="000000"/>
                <w:sz w:val="21"/>
                <w:szCs w:val="21"/>
              </w:rPr>
              <w:br/>
              <w:t> </w:t>
            </w:r>
          </w:p>
        </w:tc>
      </w:tr>
      <w:tr w:rsidR="00CA0E97" w14:paraId="15F247A7" w14:textId="77777777" w:rsidTr="002D11E3">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0F8189D7"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lastRenderedPageBreak/>
              <w:t>H. Impact Statement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791AC15"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b/>
                <w:bCs/>
                <w:color w:val="000000"/>
                <w:sz w:val="21"/>
                <w:szCs w:val="21"/>
              </w:rPr>
              <w:t>KUSOG: Knowledge, Understanding, Services, and Opportunities for Good Health</w:t>
            </w:r>
            <w:r>
              <w:rPr>
                <w:rFonts w:asciiTheme="majorHAnsi" w:eastAsia="Times New Roman" w:hAnsiTheme="majorHAnsi" w:cstheme="majorHAnsi"/>
                <w:color w:val="000000"/>
                <w:sz w:val="21"/>
                <w:szCs w:val="21"/>
              </w:rPr>
              <w:t xml:space="preserve"> is expected to create meaningful and sustainable impact by strengthening the capacity of individuals, families, and communities to become more informed, proactive, and empowered in managing their health. Through a life-course approach, the project will provide appropriate health information and education for children, adolescents, adults, and older adults while recognizing the important role of families, BHWs, community leaders, and local health partners in promoting community well-being. </w:t>
            </w:r>
          </w:p>
          <w:p w14:paraId="2A839D90" w14:textId="77777777" w:rsidR="00CA0E97" w:rsidRDefault="00CA0E97" w:rsidP="002D11E3">
            <w:pPr>
              <w:pStyle w:val="NoSpacing"/>
              <w:rPr>
                <w:rFonts w:asciiTheme="majorHAnsi" w:eastAsia="Times New Roman" w:hAnsiTheme="majorHAnsi" w:cstheme="majorHAnsi"/>
                <w:color w:val="000000"/>
                <w:sz w:val="21"/>
                <w:szCs w:val="21"/>
              </w:rPr>
            </w:pPr>
          </w:p>
          <w:p w14:paraId="16406193"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KUSOG is expected to improve community members' understanding of health promotion, disease prevention, early recognition of health risks, appropriate health-seeking behavior, and available primary health care services. By strengthening health literacy and health-service navigation, the project can help community members make more informed decisions regarding when, where, and how to seek appropriate health care. </w:t>
            </w:r>
          </w:p>
          <w:p w14:paraId="3EEC0A16" w14:textId="77777777" w:rsidR="00CA0E97" w:rsidRDefault="00CA0E97" w:rsidP="002D11E3">
            <w:pPr>
              <w:pStyle w:val="NoSpacing"/>
              <w:rPr>
                <w:rFonts w:asciiTheme="majorHAnsi" w:eastAsia="Times New Roman" w:hAnsiTheme="majorHAnsi" w:cstheme="majorHAnsi"/>
                <w:color w:val="000000"/>
                <w:sz w:val="21"/>
                <w:szCs w:val="21"/>
              </w:rPr>
            </w:pPr>
          </w:p>
          <w:p w14:paraId="004BC4F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The project will also strengthen collaboration between JHCSC and partner communities, promote community participation in identifying and addressing health priorities, and provide nursing students with meaningful opportunities to apply community health nursing knowledge and skills in real-world settings. </w:t>
            </w:r>
          </w:p>
          <w:p w14:paraId="75D0CCF6" w14:textId="77777777" w:rsidR="00CA0E97" w:rsidRDefault="00CA0E97" w:rsidP="002D11E3">
            <w:pPr>
              <w:pStyle w:val="NoSpacing"/>
              <w:rPr>
                <w:rFonts w:asciiTheme="majorHAnsi" w:eastAsia="Times New Roman" w:hAnsiTheme="majorHAnsi" w:cstheme="majorHAnsi"/>
                <w:color w:val="000000"/>
                <w:sz w:val="21"/>
                <w:szCs w:val="21"/>
              </w:rPr>
            </w:pPr>
          </w:p>
          <w:p w14:paraId="6653FC44"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In the longer term, KUSOG aims to contribute to healthier and more empowered communities by establishing sustained community engagement, strengthening local health partnerships, and supporting existing primary health care and Universal Health Care initiatives.</w:t>
            </w:r>
          </w:p>
          <w:p w14:paraId="3F01B184" w14:textId="77777777" w:rsidR="00CA0E97" w:rsidRDefault="00CA0E97" w:rsidP="002D11E3">
            <w:pPr>
              <w:pStyle w:val="NoSpacing"/>
              <w:rPr>
                <w:rFonts w:asciiTheme="majorHAnsi" w:eastAsia="Times New Roman" w:hAnsiTheme="majorHAnsi" w:cstheme="majorHAnsi"/>
                <w:color w:val="000000"/>
                <w:sz w:val="21"/>
                <w:szCs w:val="21"/>
              </w:rPr>
            </w:pPr>
          </w:p>
          <w:p w14:paraId="3F03F59C"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 Its alignment with the Sustainable Development Goals and the JHCSC TABANGE Framework further reinforces its contribution to health, education, equity, community empowerment, partnerships, and sustainable institutional extension.</w:t>
            </w:r>
          </w:p>
        </w:tc>
      </w:tr>
      <w:tr w:rsidR="00CA0E97" w14:paraId="10618A91" w14:textId="77777777" w:rsidTr="002D11E3">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0AB38D51"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I. Summary</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25410005"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b/>
                <w:bCs/>
                <w:color w:val="000000"/>
                <w:sz w:val="21"/>
                <w:szCs w:val="21"/>
              </w:rPr>
              <w:t>KUSOG: Knowledge, Understanding, Services, and Opportunities for Good Health</w:t>
            </w:r>
            <w:r>
              <w:rPr>
                <w:rFonts w:asciiTheme="majorHAnsi" w:eastAsia="Times New Roman" w:hAnsiTheme="majorHAnsi" w:cstheme="majorHAnsi"/>
                <w:color w:val="000000"/>
                <w:sz w:val="21"/>
                <w:szCs w:val="21"/>
              </w:rPr>
              <w:t xml:space="preserve">, with the tagline </w:t>
            </w:r>
            <w:r>
              <w:rPr>
                <w:rFonts w:asciiTheme="majorHAnsi" w:eastAsia="Times New Roman" w:hAnsiTheme="majorHAnsi" w:cstheme="majorHAnsi"/>
                <w:b/>
                <w:bCs/>
                <w:color w:val="000000"/>
                <w:sz w:val="21"/>
                <w:szCs w:val="21"/>
              </w:rPr>
              <w:t>“</w:t>
            </w:r>
            <w:proofErr w:type="spellStart"/>
            <w:r>
              <w:rPr>
                <w:rFonts w:asciiTheme="majorHAnsi" w:eastAsia="Times New Roman" w:hAnsiTheme="majorHAnsi" w:cstheme="majorHAnsi"/>
                <w:b/>
                <w:bCs/>
                <w:color w:val="000000"/>
                <w:sz w:val="21"/>
                <w:szCs w:val="21"/>
              </w:rPr>
              <w:t>Kusog</w:t>
            </w:r>
            <w:proofErr w:type="spellEnd"/>
            <w:r>
              <w:rPr>
                <w:rFonts w:asciiTheme="majorHAnsi" w:eastAsia="Times New Roman" w:hAnsiTheme="majorHAnsi" w:cstheme="majorHAnsi"/>
                <w:b/>
                <w:bCs/>
                <w:color w:val="000000"/>
                <w:sz w:val="21"/>
                <w:szCs w:val="21"/>
              </w:rPr>
              <w:t xml:space="preserve"> </w:t>
            </w:r>
            <w:proofErr w:type="spellStart"/>
            <w:r>
              <w:rPr>
                <w:rFonts w:asciiTheme="majorHAnsi" w:eastAsia="Times New Roman" w:hAnsiTheme="majorHAnsi" w:cstheme="majorHAnsi"/>
                <w:b/>
                <w:bCs/>
                <w:color w:val="000000"/>
                <w:sz w:val="21"/>
                <w:szCs w:val="21"/>
              </w:rPr>
              <w:t>sa</w:t>
            </w:r>
            <w:proofErr w:type="spellEnd"/>
            <w:r>
              <w:rPr>
                <w:rFonts w:asciiTheme="majorHAnsi" w:eastAsia="Times New Roman" w:hAnsiTheme="majorHAnsi" w:cstheme="majorHAnsi"/>
                <w:b/>
                <w:bCs/>
                <w:color w:val="000000"/>
                <w:sz w:val="21"/>
                <w:szCs w:val="21"/>
              </w:rPr>
              <w:t xml:space="preserve"> </w:t>
            </w:r>
            <w:proofErr w:type="spellStart"/>
            <w:r>
              <w:rPr>
                <w:rFonts w:asciiTheme="majorHAnsi" w:eastAsia="Times New Roman" w:hAnsiTheme="majorHAnsi" w:cstheme="majorHAnsi"/>
                <w:b/>
                <w:bCs/>
                <w:color w:val="000000"/>
                <w:sz w:val="21"/>
                <w:szCs w:val="21"/>
              </w:rPr>
              <w:t>Panglawas</w:t>
            </w:r>
            <w:proofErr w:type="spellEnd"/>
            <w:r>
              <w:rPr>
                <w:rFonts w:asciiTheme="majorHAnsi" w:eastAsia="Times New Roman" w:hAnsiTheme="majorHAnsi" w:cstheme="majorHAnsi"/>
                <w:b/>
                <w:bCs/>
                <w:color w:val="000000"/>
                <w:sz w:val="21"/>
                <w:szCs w:val="21"/>
              </w:rPr>
              <w:t xml:space="preserve">, </w:t>
            </w:r>
            <w:proofErr w:type="spellStart"/>
            <w:r>
              <w:rPr>
                <w:rFonts w:asciiTheme="majorHAnsi" w:eastAsia="Times New Roman" w:hAnsiTheme="majorHAnsi" w:cstheme="majorHAnsi"/>
                <w:b/>
                <w:bCs/>
                <w:color w:val="000000"/>
                <w:sz w:val="21"/>
                <w:szCs w:val="21"/>
              </w:rPr>
              <w:t>Kusog</w:t>
            </w:r>
            <w:proofErr w:type="spellEnd"/>
            <w:r>
              <w:rPr>
                <w:rFonts w:asciiTheme="majorHAnsi" w:eastAsia="Times New Roman" w:hAnsiTheme="majorHAnsi" w:cstheme="majorHAnsi"/>
                <w:b/>
                <w:bCs/>
                <w:color w:val="000000"/>
                <w:sz w:val="21"/>
                <w:szCs w:val="21"/>
              </w:rPr>
              <w:t xml:space="preserve"> </w:t>
            </w:r>
            <w:proofErr w:type="spellStart"/>
            <w:r>
              <w:rPr>
                <w:rFonts w:asciiTheme="majorHAnsi" w:eastAsia="Times New Roman" w:hAnsiTheme="majorHAnsi" w:cstheme="majorHAnsi"/>
                <w:b/>
                <w:bCs/>
                <w:color w:val="000000"/>
                <w:sz w:val="21"/>
                <w:szCs w:val="21"/>
              </w:rPr>
              <w:t>sa</w:t>
            </w:r>
            <w:proofErr w:type="spellEnd"/>
            <w:r>
              <w:rPr>
                <w:rFonts w:asciiTheme="majorHAnsi" w:eastAsia="Times New Roman" w:hAnsiTheme="majorHAnsi" w:cstheme="majorHAnsi"/>
                <w:b/>
                <w:bCs/>
                <w:color w:val="000000"/>
                <w:sz w:val="21"/>
                <w:szCs w:val="21"/>
              </w:rPr>
              <w:t xml:space="preserve"> </w:t>
            </w:r>
            <w:proofErr w:type="spellStart"/>
            <w:r>
              <w:rPr>
                <w:rFonts w:asciiTheme="majorHAnsi" w:eastAsia="Times New Roman" w:hAnsiTheme="majorHAnsi" w:cstheme="majorHAnsi"/>
                <w:b/>
                <w:bCs/>
                <w:color w:val="000000"/>
                <w:sz w:val="21"/>
                <w:szCs w:val="21"/>
              </w:rPr>
              <w:t>Komunidad</w:t>
            </w:r>
            <w:proofErr w:type="spellEnd"/>
            <w:r>
              <w:rPr>
                <w:rFonts w:asciiTheme="majorHAnsi" w:eastAsia="Times New Roman" w:hAnsiTheme="majorHAnsi" w:cstheme="majorHAnsi"/>
                <w:b/>
                <w:bCs/>
                <w:color w:val="000000"/>
                <w:sz w:val="21"/>
                <w:szCs w:val="21"/>
              </w:rPr>
              <w:t>” (Strength in Health, Strength in Community)</w:t>
            </w:r>
            <w:r>
              <w:rPr>
                <w:rFonts w:asciiTheme="majorHAnsi" w:eastAsia="Times New Roman" w:hAnsiTheme="majorHAnsi" w:cstheme="majorHAnsi"/>
                <w:color w:val="000000"/>
                <w:sz w:val="21"/>
                <w:szCs w:val="21"/>
              </w:rPr>
              <w:t xml:space="preserve">, is a proposed School of Nursing extension project designed to translate the principle of </w:t>
            </w:r>
            <w:r>
              <w:rPr>
                <w:rFonts w:asciiTheme="majorHAnsi" w:eastAsia="Times New Roman" w:hAnsiTheme="majorHAnsi" w:cstheme="majorHAnsi"/>
                <w:b/>
                <w:bCs/>
                <w:color w:val="000000"/>
                <w:sz w:val="21"/>
                <w:szCs w:val="21"/>
              </w:rPr>
              <w:t>Health for All</w:t>
            </w:r>
            <w:r>
              <w:rPr>
                <w:rFonts w:asciiTheme="majorHAnsi" w:eastAsia="Times New Roman" w:hAnsiTheme="majorHAnsi" w:cstheme="majorHAnsi"/>
                <w:color w:val="000000"/>
                <w:sz w:val="21"/>
                <w:szCs w:val="21"/>
              </w:rPr>
              <w:t xml:space="preserve"> into practical, community-based action. Guided by the core message </w:t>
            </w:r>
            <w:r>
              <w:rPr>
                <w:rFonts w:asciiTheme="majorHAnsi" w:eastAsia="Times New Roman" w:hAnsiTheme="majorHAnsi" w:cstheme="majorHAnsi"/>
                <w:b/>
                <w:bCs/>
                <w:color w:val="000000"/>
                <w:sz w:val="21"/>
                <w:szCs w:val="21"/>
              </w:rPr>
              <w:t xml:space="preserve">“Matag Edad, Matag </w:t>
            </w:r>
            <w:proofErr w:type="spellStart"/>
            <w:r>
              <w:rPr>
                <w:rFonts w:asciiTheme="majorHAnsi" w:eastAsia="Times New Roman" w:hAnsiTheme="majorHAnsi" w:cstheme="majorHAnsi"/>
                <w:b/>
                <w:bCs/>
                <w:color w:val="000000"/>
                <w:sz w:val="21"/>
                <w:szCs w:val="21"/>
              </w:rPr>
              <w:t>Pamilya</w:t>
            </w:r>
            <w:proofErr w:type="spellEnd"/>
            <w:r>
              <w:rPr>
                <w:rFonts w:asciiTheme="majorHAnsi" w:eastAsia="Times New Roman" w:hAnsiTheme="majorHAnsi" w:cstheme="majorHAnsi"/>
                <w:b/>
                <w:bCs/>
                <w:color w:val="000000"/>
                <w:sz w:val="21"/>
                <w:szCs w:val="21"/>
              </w:rPr>
              <w:t xml:space="preserve">, </w:t>
            </w:r>
            <w:proofErr w:type="spellStart"/>
            <w:r>
              <w:rPr>
                <w:rFonts w:asciiTheme="majorHAnsi" w:eastAsia="Times New Roman" w:hAnsiTheme="majorHAnsi" w:cstheme="majorHAnsi"/>
                <w:b/>
                <w:bCs/>
                <w:color w:val="000000"/>
                <w:sz w:val="21"/>
                <w:szCs w:val="21"/>
              </w:rPr>
              <w:t>Maayong</w:t>
            </w:r>
            <w:proofErr w:type="spellEnd"/>
            <w:r>
              <w:rPr>
                <w:rFonts w:asciiTheme="majorHAnsi" w:eastAsia="Times New Roman" w:hAnsiTheme="majorHAnsi" w:cstheme="majorHAnsi"/>
                <w:b/>
                <w:bCs/>
                <w:color w:val="000000"/>
                <w:sz w:val="21"/>
                <w:szCs w:val="21"/>
              </w:rPr>
              <w:t xml:space="preserve"> </w:t>
            </w:r>
            <w:proofErr w:type="spellStart"/>
            <w:r>
              <w:rPr>
                <w:rFonts w:asciiTheme="majorHAnsi" w:eastAsia="Times New Roman" w:hAnsiTheme="majorHAnsi" w:cstheme="majorHAnsi"/>
                <w:b/>
                <w:bCs/>
                <w:color w:val="000000"/>
                <w:sz w:val="21"/>
                <w:szCs w:val="21"/>
              </w:rPr>
              <w:t>panglawas</w:t>
            </w:r>
            <w:proofErr w:type="spellEnd"/>
            <w:r>
              <w:rPr>
                <w:rFonts w:asciiTheme="majorHAnsi" w:eastAsia="Times New Roman" w:hAnsiTheme="majorHAnsi" w:cstheme="majorHAnsi"/>
                <w:b/>
                <w:bCs/>
                <w:color w:val="000000"/>
                <w:sz w:val="21"/>
                <w:szCs w:val="21"/>
              </w:rPr>
              <w:t xml:space="preserve"> para </w:t>
            </w:r>
            <w:proofErr w:type="spellStart"/>
            <w:r>
              <w:rPr>
                <w:rFonts w:asciiTheme="majorHAnsi" w:eastAsia="Times New Roman" w:hAnsiTheme="majorHAnsi" w:cstheme="majorHAnsi"/>
                <w:b/>
                <w:bCs/>
                <w:color w:val="000000"/>
                <w:sz w:val="21"/>
                <w:szCs w:val="21"/>
              </w:rPr>
              <w:t>sa</w:t>
            </w:r>
            <w:proofErr w:type="spellEnd"/>
            <w:r>
              <w:rPr>
                <w:rFonts w:asciiTheme="majorHAnsi" w:eastAsia="Times New Roman" w:hAnsiTheme="majorHAnsi" w:cstheme="majorHAnsi"/>
                <w:b/>
                <w:bCs/>
                <w:color w:val="000000"/>
                <w:sz w:val="21"/>
                <w:szCs w:val="21"/>
              </w:rPr>
              <w:t xml:space="preserve"> Tanan” (Every Age, Every Family, Health for All)</w:t>
            </w:r>
            <w:r>
              <w:rPr>
                <w:rFonts w:asciiTheme="majorHAnsi" w:eastAsia="Times New Roman" w:hAnsiTheme="majorHAnsi" w:cstheme="majorHAnsi"/>
                <w:color w:val="000000"/>
                <w:sz w:val="21"/>
                <w:szCs w:val="21"/>
              </w:rPr>
              <w:t xml:space="preserve">, the project adopts a </w:t>
            </w:r>
            <w:r>
              <w:rPr>
                <w:rFonts w:asciiTheme="majorHAnsi" w:eastAsia="Times New Roman" w:hAnsiTheme="majorHAnsi" w:cstheme="majorHAnsi"/>
                <w:b/>
                <w:bCs/>
                <w:color w:val="000000"/>
                <w:sz w:val="21"/>
                <w:szCs w:val="21"/>
              </w:rPr>
              <w:t>life-course, family-centered, and community-based approach</w:t>
            </w:r>
            <w:r>
              <w:rPr>
                <w:rFonts w:asciiTheme="majorHAnsi" w:eastAsia="Times New Roman" w:hAnsiTheme="majorHAnsi" w:cstheme="majorHAnsi"/>
                <w:color w:val="000000"/>
                <w:sz w:val="21"/>
                <w:szCs w:val="21"/>
              </w:rPr>
              <w:t xml:space="preserve"> that addresses the health information and health promotion needs of children, adolescents, adults, older adults, families, and other community members.</w:t>
            </w:r>
          </w:p>
          <w:p w14:paraId="49AA7E02" w14:textId="77777777" w:rsidR="00CA0E97" w:rsidRDefault="00CA0E97" w:rsidP="002D11E3">
            <w:pPr>
              <w:pStyle w:val="NoSpacing"/>
              <w:rPr>
                <w:rFonts w:asciiTheme="majorHAnsi" w:eastAsia="Times New Roman" w:hAnsiTheme="majorHAnsi" w:cstheme="majorHAnsi"/>
                <w:color w:val="000000"/>
                <w:sz w:val="21"/>
                <w:szCs w:val="21"/>
              </w:rPr>
            </w:pPr>
          </w:p>
          <w:p w14:paraId="2CB0E36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The project will begin with a </w:t>
            </w:r>
            <w:r>
              <w:rPr>
                <w:rFonts w:asciiTheme="majorHAnsi" w:eastAsia="Times New Roman" w:hAnsiTheme="majorHAnsi" w:cstheme="majorHAnsi"/>
                <w:b/>
                <w:bCs/>
                <w:color w:val="000000"/>
                <w:sz w:val="21"/>
                <w:szCs w:val="21"/>
              </w:rPr>
              <w:t>community health needs assessment</w:t>
            </w:r>
            <w:r>
              <w:rPr>
                <w:rFonts w:asciiTheme="majorHAnsi" w:eastAsia="Times New Roman" w:hAnsiTheme="majorHAnsi" w:cstheme="majorHAnsi"/>
                <w:color w:val="000000"/>
                <w:sz w:val="21"/>
                <w:szCs w:val="21"/>
              </w:rPr>
              <w:t xml:space="preserve"> to identify priority health concerns, health-information needs, preventive practices, health-seeking behaviors, and barriers to accessing health services. The results will guide the development of appropriate interventions, including health education, health promotion, disease-prevention activities, early recognition of health risks, Universal Health Care and primary health care orientation, health-service navigation, and referral awareness. These activities are intended to complement existing programs and services of local health authorities and community health facilities.</w:t>
            </w:r>
          </w:p>
          <w:p w14:paraId="19119821" w14:textId="77777777" w:rsidR="00CA0E97" w:rsidRDefault="00CA0E97" w:rsidP="002D11E3">
            <w:pPr>
              <w:pStyle w:val="NoSpacing"/>
              <w:rPr>
                <w:rFonts w:asciiTheme="majorHAnsi" w:eastAsia="Times New Roman" w:hAnsiTheme="majorHAnsi" w:cstheme="majorHAnsi"/>
                <w:color w:val="000000"/>
                <w:sz w:val="21"/>
                <w:szCs w:val="21"/>
              </w:rPr>
            </w:pPr>
          </w:p>
          <w:p w14:paraId="5305E10F"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lastRenderedPageBreak/>
              <w:t xml:space="preserve">KUSOG is anchored on the principles of </w:t>
            </w:r>
            <w:r>
              <w:rPr>
                <w:rFonts w:asciiTheme="majorHAnsi" w:eastAsia="Times New Roman" w:hAnsiTheme="majorHAnsi" w:cstheme="majorHAnsi"/>
                <w:b/>
                <w:bCs/>
                <w:color w:val="000000"/>
                <w:sz w:val="21"/>
                <w:szCs w:val="21"/>
              </w:rPr>
              <w:t>Universal Health Care (UHC)</w:t>
            </w:r>
            <w:r>
              <w:rPr>
                <w:rFonts w:asciiTheme="majorHAnsi" w:eastAsia="Times New Roman" w:hAnsiTheme="majorHAnsi" w:cstheme="majorHAnsi"/>
                <w:color w:val="000000"/>
                <w:sz w:val="21"/>
                <w:szCs w:val="21"/>
              </w:rPr>
              <w:t xml:space="preserve">, particularly the importance of primary health care, health promotion, community participation, appropriate health-seeking behavior, and access to available health services. It also supports the </w:t>
            </w:r>
            <w:r>
              <w:rPr>
                <w:rFonts w:asciiTheme="majorHAnsi" w:eastAsia="Times New Roman" w:hAnsiTheme="majorHAnsi" w:cstheme="majorHAnsi"/>
                <w:b/>
                <w:bCs/>
                <w:color w:val="000000"/>
                <w:sz w:val="21"/>
                <w:szCs w:val="21"/>
              </w:rPr>
              <w:t>Sustainable Development Goals</w:t>
            </w:r>
            <w:r>
              <w:rPr>
                <w:rFonts w:asciiTheme="majorHAnsi" w:eastAsia="Times New Roman" w:hAnsiTheme="majorHAnsi" w:cstheme="majorHAnsi"/>
                <w:color w:val="000000"/>
                <w:sz w:val="21"/>
                <w:szCs w:val="21"/>
              </w:rPr>
              <w:t xml:space="preserve">, particularly </w:t>
            </w:r>
            <w:r>
              <w:rPr>
                <w:rFonts w:asciiTheme="majorHAnsi" w:eastAsia="Times New Roman" w:hAnsiTheme="majorHAnsi" w:cstheme="majorHAnsi"/>
                <w:b/>
                <w:bCs/>
                <w:color w:val="000000"/>
                <w:sz w:val="21"/>
                <w:szCs w:val="21"/>
              </w:rPr>
              <w:t>SDG 3 (Good Health and Well-being), SDG 4 (Quality Education), SDG 10 (Reduced Inequalities), SDG 11 (Sustainable Cities and Communities), and SDG 17 (Partnerships for the Goals)</w:t>
            </w:r>
            <w:r>
              <w:rPr>
                <w:rFonts w:asciiTheme="majorHAnsi" w:eastAsia="Times New Roman" w:hAnsiTheme="majorHAnsi" w:cstheme="majorHAnsi"/>
                <w:color w:val="000000"/>
                <w:sz w:val="21"/>
                <w:szCs w:val="21"/>
              </w:rPr>
              <w:t>. These global priorities provide a broader framework for ensuring that the project's health education, community engagement, and partnership activities contribute to improved health and sustainable community development.</w:t>
            </w:r>
          </w:p>
          <w:p w14:paraId="2397E9B2" w14:textId="77777777" w:rsidR="00CA0E97" w:rsidRDefault="00CA0E97" w:rsidP="002D11E3">
            <w:pPr>
              <w:pStyle w:val="NoSpacing"/>
              <w:rPr>
                <w:rFonts w:asciiTheme="majorHAnsi" w:eastAsia="Times New Roman" w:hAnsiTheme="majorHAnsi" w:cstheme="majorHAnsi"/>
                <w:color w:val="000000"/>
                <w:sz w:val="21"/>
                <w:szCs w:val="21"/>
              </w:rPr>
            </w:pPr>
          </w:p>
          <w:p w14:paraId="15ED251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At the institutional level, KUSOG is aligned with the </w:t>
            </w:r>
            <w:r>
              <w:rPr>
                <w:rFonts w:asciiTheme="majorHAnsi" w:eastAsia="Times New Roman" w:hAnsiTheme="majorHAnsi" w:cstheme="majorHAnsi"/>
                <w:b/>
                <w:bCs/>
                <w:color w:val="000000"/>
                <w:sz w:val="21"/>
                <w:szCs w:val="21"/>
              </w:rPr>
              <w:t>JHCSC TABANGE Framework</w:t>
            </w:r>
            <w:r>
              <w:rPr>
                <w:rFonts w:asciiTheme="majorHAnsi" w:eastAsia="Times New Roman" w:hAnsiTheme="majorHAnsi" w:cstheme="majorHAnsi"/>
                <w:color w:val="000000"/>
                <w:sz w:val="21"/>
                <w:szCs w:val="21"/>
              </w:rPr>
              <w:t xml:space="preserve">, particularly </w:t>
            </w:r>
            <w:r>
              <w:rPr>
                <w:rFonts w:asciiTheme="majorHAnsi" w:eastAsia="Times New Roman" w:hAnsiTheme="majorHAnsi" w:cstheme="majorHAnsi"/>
                <w:b/>
                <w:bCs/>
                <w:color w:val="000000"/>
                <w:sz w:val="21"/>
                <w:szCs w:val="21"/>
              </w:rPr>
              <w:t>B – Barangay Empowerment and Good Governance</w:t>
            </w:r>
            <w:r>
              <w:rPr>
                <w:rFonts w:asciiTheme="majorHAnsi" w:eastAsia="Times New Roman" w:hAnsiTheme="majorHAnsi" w:cstheme="majorHAnsi"/>
                <w:color w:val="000000"/>
                <w:sz w:val="21"/>
                <w:szCs w:val="21"/>
              </w:rPr>
              <w:t xml:space="preserve">, </w:t>
            </w:r>
            <w:r>
              <w:rPr>
                <w:rFonts w:asciiTheme="majorHAnsi" w:eastAsia="Times New Roman" w:hAnsiTheme="majorHAnsi" w:cstheme="majorHAnsi"/>
                <w:b/>
                <w:bCs/>
                <w:color w:val="000000"/>
                <w:sz w:val="21"/>
                <w:szCs w:val="21"/>
              </w:rPr>
              <w:t>A – Adopt a community</w:t>
            </w:r>
            <w:r>
              <w:rPr>
                <w:rFonts w:asciiTheme="majorHAnsi" w:eastAsia="Times New Roman" w:hAnsiTheme="majorHAnsi" w:cstheme="majorHAnsi"/>
                <w:color w:val="000000"/>
                <w:sz w:val="21"/>
                <w:szCs w:val="21"/>
              </w:rPr>
              <w:t xml:space="preserve">, and </w:t>
            </w:r>
            <w:r>
              <w:rPr>
                <w:rFonts w:asciiTheme="majorHAnsi" w:eastAsia="Times New Roman" w:hAnsiTheme="majorHAnsi" w:cstheme="majorHAnsi"/>
                <w:b/>
                <w:bCs/>
                <w:color w:val="000000"/>
                <w:sz w:val="21"/>
                <w:szCs w:val="21"/>
              </w:rPr>
              <w:t>N – Nutrition and Health Programs</w:t>
            </w:r>
            <w:r>
              <w:rPr>
                <w:rFonts w:asciiTheme="majorHAnsi" w:eastAsia="Times New Roman" w:hAnsiTheme="majorHAnsi" w:cstheme="majorHAnsi"/>
                <w:color w:val="000000"/>
                <w:sz w:val="21"/>
                <w:szCs w:val="21"/>
              </w:rPr>
              <w:t>. Through barangay participation, the project will promote community ownership in identifying health priorities, planning interventions, and monitoring outcomes. Through the Adopt a community component, KUSOG will encourage sustained engagement with a selected community rather than limiting extension activities to one-time outreach. Through Nutrition a Health Programs, the project will integrate health promotion, nutrition awareness, disease prevention, healthy lifestyle education, family health, and appropriate health-seeking practices according to identified community needs.</w:t>
            </w:r>
          </w:p>
          <w:p w14:paraId="45B390A8"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Nursing students will participate under faculty supervision, allowing them to apply community health nursing competencies while contributing to meaningful community service. The project will likewise strengthen the capacity of BHWs and community partners through health education, coordination, and information-sharing activities. Through these partnerships, KUSOG aims to establish a collaborative approach in which the university, health professionals, community leaders, families, and community members work together toward common health goals.</w:t>
            </w:r>
          </w:p>
          <w:p w14:paraId="14C15F91" w14:textId="77777777" w:rsidR="00CA0E97" w:rsidRDefault="00CA0E97" w:rsidP="002D11E3">
            <w:pPr>
              <w:pStyle w:val="NoSpacing"/>
              <w:rPr>
                <w:rFonts w:asciiTheme="majorHAnsi" w:eastAsia="Times New Roman" w:hAnsiTheme="majorHAnsi" w:cstheme="majorHAnsi"/>
                <w:color w:val="000000"/>
                <w:sz w:val="21"/>
                <w:szCs w:val="21"/>
              </w:rPr>
            </w:pPr>
          </w:p>
          <w:p w14:paraId="597BEBA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The project will be monitored and evaluated through </w:t>
            </w:r>
            <w:r>
              <w:rPr>
                <w:rFonts w:asciiTheme="majorHAnsi" w:eastAsia="Times New Roman" w:hAnsiTheme="majorHAnsi" w:cstheme="majorHAnsi"/>
                <w:b/>
                <w:bCs/>
                <w:color w:val="000000"/>
                <w:sz w:val="21"/>
                <w:szCs w:val="21"/>
              </w:rPr>
              <w:t>process and outcome indicators</w:t>
            </w:r>
            <w:r>
              <w:rPr>
                <w:rFonts w:asciiTheme="majorHAnsi" w:eastAsia="Times New Roman" w:hAnsiTheme="majorHAnsi" w:cstheme="majorHAnsi"/>
                <w:color w:val="000000"/>
                <w:sz w:val="21"/>
                <w:szCs w:val="21"/>
              </w:rPr>
              <w:t>, including the number of individuals reached, educational sessions conducted, IEC materials distributed, nursing students and BHWs involved, partner organizations engaged, changes in health knowledge, awareness of health services, understanding of preventive practices, satisfaction, and awareness of appropriate referral and health-seeking practices. Evaluation findings will provide a basis for improving succeeding activities and developing a sustainable community extension model.</w:t>
            </w:r>
          </w:p>
          <w:p w14:paraId="020D6049" w14:textId="77777777" w:rsidR="00CA0E97" w:rsidRDefault="00CA0E97" w:rsidP="002D11E3">
            <w:pPr>
              <w:pStyle w:val="NoSpacing"/>
              <w:rPr>
                <w:rFonts w:asciiTheme="majorHAnsi" w:eastAsia="Times New Roman" w:hAnsiTheme="majorHAnsi" w:cstheme="majorHAnsi"/>
                <w:color w:val="000000"/>
                <w:sz w:val="21"/>
                <w:szCs w:val="21"/>
              </w:rPr>
            </w:pPr>
          </w:p>
          <w:p w14:paraId="56337D7A"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Ultimately, </w:t>
            </w:r>
            <w:r>
              <w:rPr>
                <w:rFonts w:asciiTheme="majorHAnsi" w:eastAsia="Times New Roman" w:hAnsiTheme="majorHAnsi" w:cstheme="majorHAnsi"/>
                <w:b/>
                <w:bCs/>
                <w:color w:val="000000"/>
                <w:sz w:val="21"/>
                <w:szCs w:val="21"/>
              </w:rPr>
              <w:t>KUSOG seeks to move beyond the delivery of health information toward building health-literate, empowered, and actively participating communities</w:t>
            </w:r>
            <w:r>
              <w:rPr>
                <w:rFonts w:asciiTheme="majorHAnsi" w:eastAsia="Times New Roman" w:hAnsiTheme="majorHAnsi" w:cstheme="majorHAnsi"/>
                <w:color w:val="000000"/>
                <w:sz w:val="21"/>
                <w:szCs w:val="21"/>
              </w:rPr>
              <w:t xml:space="preserve">. By integrating Universal Health Care, the Sustainable Development Goals, and the JHCSC TABANGE Framework, the project provides a coherent platform through which the School of Nursing can contribute to community health promotion, disease prevention, primary health care awareness, nutrition and health education, student development, community empowerment, and sustainable partnerships. In this way, KUSOG transforms the vision of </w:t>
            </w:r>
            <w:r>
              <w:rPr>
                <w:rFonts w:asciiTheme="majorHAnsi" w:eastAsia="Times New Roman" w:hAnsiTheme="majorHAnsi" w:cstheme="majorHAnsi"/>
                <w:b/>
                <w:bCs/>
                <w:color w:val="000000"/>
                <w:sz w:val="21"/>
                <w:szCs w:val="21"/>
              </w:rPr>
              <w:t>“Health for All”</w:t>
            </w:r>
            <w:r>
              <w:rPr>
                <w:rFonts w:asciiTheme="majorHAnsi" w:eastAsia="Times New Roman" w:hAnsiTheme="majorHAnsi" w:cstheme="majorHAnsi"/>
                <w:color w:val="000000"/>
                <w:sz w:val="21"/>
                <w:szCs w:val="21"/>
              </w:rPr>
              <w:t xml:space="preserve"> into continuing community-based action—</w:t>
            </w:r>
            <w:r>
              <w:rPr>
                <w:rFonts w:asciiTheme="majorHAnsi" w:eastAsia="Times New Roman" w:hAnsiTheme="majorHAnsi" w:cstheme="majorHAnsi"/>
                <w:b/>
                <w:bCs/>
                <w:color w:val="000000"/>
                <w:sz w:val="21"/>
                <w:szCs w:val="21"/>
              </w:rPr>
              <w:t>strengthening people's knowledge, strengthening community participation, and ultimately strengthening the health of the community.</w:t>
            </w:r>
          </w:p>
        </w:tc>
      </w:tr>
    </w:tbl>
    <w:p w14:paraId="090D8D9C" w14:textId="77777777" w:rsidR="00CA0E97" w:rsidRDefault="00CA0E97" w:rsidP="00CA0E97">
      <w:pPr>
        <w:pStyle w:val="NoSpacing"/>
        <w:jc w:val="cente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lastRenderedPageBreak/>
        <w:t>PART II</w:t>
      </w:r>
      <w:r>
        <w:rPr>
          <w:rFonts w:asciiTheme="majorHAnsi" w:eastAsia="Times New Roman" w:hAnsiTheme="majorHAnsi" w:cstheme="majorHAnsi"/>
          <w:b/>
          <w:bCs/>
          <w:color w:val="000000"/>
          <w:sz w:val="21"/>
          <w:szCs w:val="21"/>
        </w:rPr>
        <w:br/>
        <w:t>PROJECT DETAILS</w:t>
      </w:r>
    </w:p>
    <w:p w14:paraId="67FE3E3C" w14:textId="77777777" w:rsidR="00CA0E97" w:rsidRDefault="00CA0E97" w:rsidP="00CA0E97">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A. Background and Justification.</w:t>
      </w:r>
    </w:p>
    <w:p w14:paraId="1FA67637" w14:textId="77777777" w:rsidR="00CA0E97" w:rsidRDefault="00CA0E97" w:rsidP="00CA0E97">
      <w:pPr>
        <w:pStyle w:val="NoSpacing"/>
        <w:ind w:firstLine="720"/>
        <w:rPr>
          <w:rFonts w:asciiTheme="majorHAnsi" w:hAnsiTheme="majorHAnsi" w:cstheme="majorHAnsi"/>
          <w:sz w:val="21"/>
          <w:szCs w:val="21"/>
        </w:rPr>
      </w:pPr>
      <w:r>
        <w:rPr>
          <w:rFonts w:asciiTheme="majorHAnsi" w:hAnsiTheme="majorHAnsi" w:cstheme="majorHAnsi"/>
          <w:sz w:val="21"/>
          <w:szCs w:val="21"/>
        </w:rPr>
        <w:t xml:space="preserve"> </w:t>
      </w:r>
    </w:p>
    <w:p w14:paraId="5011DD78" w14:textId="77777777" w:rsidR="00CA0E97" w:rsidRDefault="00CA0E97" w:rsidP="00CA0E97">
      <w:pPr>
        <w:pStyle w:val="NoSpacing"/>
        <w:ind w:firstLine="720"/>
        <w:jc w:val="both"/>
        <w:rPr>
          <w:rFonts w:asciiTheme="majorHAnsi" w:hAnsiTheme="majorHAnsi" w:cstheme="majorHAnsi"/>
          <w:sz w:val="21"/>
          <w:szCs w:val="21"/>
        </w:rPr>
      </w:pPr>
      <w:r>
        <w:rPr>
          <w:rFonts w:asciiTheme="majorHAnsi" w:hAnsiTheme="majorHAnsi" w:cstheme="majorHAnsi"/>
          <w:sz w:val="21"/>
          <w:szCs w:val="21"/>
        </w:rPr>
        <w:t>Universal Health Care requires health systems to move beyond treatment of illness toward prevention, health promotion, accessible primary care, and active participation of individuals and communities.</w:t>
      </w:r>
    </w:p>
    <w:p w14:paraId="586A14FE" w14:textId="77777777" w:rsidR="00CA0E97" w:rsidRDefault="00CA0E97" w:rsidP="00CA0E97">
      <w:pPr>
        <w:pStyle w:val="NoSpacing"/>
        <w:jc w:val="both"/>
        <w:rPr>
          <w:rFonts w:asciiTheme="majorHAnsi" w:hAnsiTheme="majorHAnsi" w:cstheme="majorHAnsi"/>
          <w:sz w:val="21"/>
          <w:szCs w:val="21"/>
        </w:rPr>
      </w:pPr>
    </w:p>
    <w:p w14:paraId="78B42A4A" w14:textId="77777777" w:rsidR="00CA0E97" w:rsidRDefault="00CA0E97" w:rsidP="00CA0E97">
      <w:pPr>
        <w:pStyle w:val="NoSpacing"/>
        <w:jc w:val="both"/>
        <w:rPr>
          <w:rFonts w:asciiTheme="majorHAnsi" w:hAnsiTheme="majorHAnsi" w:cstheme="majorHAnsi"/>
          <w:sz w:val="21"/>
          <w:szCs w:val="21"/>
        </w:rPr>
      </w:pPr>
      <w:r>
        <w:rPr>
          <w:rFonts w:asciiTheme="majorHAnsi" w:hAnsiTheme="majorHAnsi" w:cstheme="majorHAnsi"/>
          <w:sz w:val="21"/>
          <w:szCs w:val="21"/>
        </w:rPr>
        <w:t xml:space="preserve">Republic Act No. 11223, or the </w:t>
      </w:r>
      <w:r>
        <w:rPr>
          <w:rFonts w:asciiTheme="majorHAnsi" w:hAnsiTheme="majorHAnsi" w:cstheme="majorHAnsi"/>
          <w:b/>
          <w:bCs/>
          <w:sz w:val="21"/>
          <w:szCs w:val="21"/>
        </w:rPr>
        <w:t>Universal Health Care Act</w:t>
      </w:r>
      <w:r>
        <w:rPr>
          <w:rFonts w:asciiTheme="majorHAnsi" w:hAnsiTheme="majorHAnsi" w:cstheme="majorHAnsi"/>
          <w:sz w:val="21"/>
          <w:szCs w:val="21"/>
        </w:rPr>
        <w:t xml:space="preserve">, provides the national policy foundation for expanding access to comprehensive health services. Its implementing rules emphasize the role of primary care providers as the initial and continuing point of contact and as navigators within the health care delivery system. </w:t>
      </w:r>
    </w:p>
    <w:p w14:paraId="32C746CE" w14:textId="77777777" w:rsidR="00CA0E97" w:rsidRDefault="00CA0E97" w:rsidP="00CA0E97">
      <w:pPr>
        <w:pStyle w:val="NoSpacing"/>
        <w:jc w:val="both"/>
        <w:rPr>
          <w:rFonts w:asciiTheme="majorHAnsi" w:hAnsiTheme="majorHAnsi" w:cstheme="majorHAnsi"/>
          <w:sz w:val="21"/>
          <w:szCs w:val="21"/>
        </w:rPr>
      </w:pPr>
    </w:p>
    <w:p w14:paraId="21F4124C" w14:textId="77777777" w:rsidR="00CA0E97" w:rsidRDefault="00CA0E97" w:rsidP="00CA0E97">
      <w:pPr>
        <w:pStyle w:val="NoSpacing"/>
        <w:jc w:val="both"/>
        <w:rPr>
          <w:rFonts w:asciiTheme="majorHAnsi" w:hAnsiTheme="majorHAnsi" w:cstheme="majorHAnsi"/>
          <w:sz w:val="21"/>
          <w:szCs w:val="21"/>
        </w:rPr>
      </w:pPr>
      <w:r>
        <w:rPr>
          <w:rFonts w:asciiTheme="majorHAnsi" w:hAnsiTheme="majorHAnsi" w:cstheme="majorHAnsi"/>
          <w:sz w:val="21"/>
          <w:szCs w:val="21"/>
        </w:rPr>
        <w:t xml:space="preserve">The Department of Health's </w:t>
      </w:r>
      <w:r>
        <w:rPr>
          <w:rFonts w:asciiTheme="majorHAnsi" w:hAnsiTheme="majorHAnsi" w:cstheme="majorHAnsi"/>
          <w:b/>
          <w:bCs/>
          <w:sz w:val="21"/>
          <w:szCs w:val="21"/>
        </w:rPr>
        <w:t>National Objectives for Health 2023–2028</w:t>
      </w:r>
      <w:r>
        <w:rPr>
          <w:rFonts w:asciiTheme="majorHAnsi" w:hAnsiTheme="majorHAnsi" w:cstheme="majorHAnsi"/>
          <w:sz w:val="21"/>
          <w:szCs w:val="21"/>
        </w:rPr>
        <w:t xml:space="preserve"> identifies universal health care through a primary health care approach as a major direction of the Philippine health system. Its framework emphasizes health action for every Filipino, every community, and every health worker and institution. </w:t>
      </w:r>
    </w:p>
    <w:p w14:paraId="2B6EAFB3" w14:textId="77777777" w:rsidR="00CA0E97" w:rsidRDefault="00CA0E97" w:rsidP="00CA0E97">
      <w:pPr>
        <w:pStyle w:val="NoSpacing"/>
        <w:jc w:val="both"/>
        <w:rPr>
          <w:rFonts w:asciiTheme="majorHAnsi" w:hAnsiTheme="majorHAnsi" w:cstheme="majorHAnsi"/>
          <w:sz w:val="21"/>
          <w:szCs w:val="21"/>
        </w:rPr>
      </w:pPr>
      <w:r>
        <w:rPr>
          <w:rFonts w:asciiTheme="majorHAnsi" w:hAnsiTheme="majorHAnsi" w:cstheme="majorHAnsi"/>
          <w:sz w:val="21"/>
          <w:szCs w:val="21"/>
        </w:rPr>
        <w:t>At the community level, however, having health services available does not automatically mean that individuals understand when to seek care, where to seek care, what services are available, or how to navigate the health system.</w:t>
      </w:r>
    </w:p>
    <w:p w14:paraId="50572172" w14:textId="77777777" w:rsidR="00CA0E97" w:rsidRDefault="00CA0E97" w:rsidP="00CA0E97">
      <w:pPr>
        <w:pStyle w:val="NoSpacing"/>
        <w:jc w:val="both"/>
        <w:rPr>
          <w:rFonts w:asciiTheme="majorHAnsi" w:hAnsiTheme="majorHAnsi" w:cstheme="majorHAnsi"/>
          <w:sz w:val="21"/>
          <w:szCs w:val="21"/>
        </w:rPr>
      </w:pPr>
    </w:p>
    <w:p w14:paraId="39AAEDD4" w14:textId="77777777" w:rsidR="00CA0E97" w:rsidRDefault="00CA0E97" w:rsidP="00CA0E97">
      <w:pPr>
        <w:pStyle w:val="NoSpacing"/>
        <w:ind w:firstLine="720"/>
        <w:jc w:val="both"/>
        <w:rPr>
          <w:rFonts w:asciiTheme="majorHAnsi" w:hAnsiTheme="majorHAnsi" w:cstheme="majorHAnsi"/>
          <w:sz w:val="21"/>
          <w:szCs w:val="21"/>
        </w:rPr>
      </w:pPr>
      <w:r>
        <w:rPr>
          <w:rFonts w:asciiTheme="majorHAnsi" w:hAnsiTheme="majorHAnsi" w:cstheme="majorHAnsi"/>
          <w:sz w:val="21"/>
          <w:szCs w:val="21"/>
        </w:rPr>
        <w:t xml:space="preserve">Health literacy is therefore an important component of UHC. WHO notes that primary health care brings essential health services closer to people's everyday environments while also increasing health literacy among households and communities. </w:t>
      </w:r>
    </w:p>
    <w:p w14:paraId="6D72A891" w14:textId="77777777" w:rsidR="00CA0E97" w:rsidRDefault="00CA0E97" w:rsidP="00CA0E97">
      <w:pPr>
        <w:pStyle w:val="NoSpacing"/>
        <w:jc w:val="both"/>
        <w:rPr>
          <w:rFonts w:asciiTheme="majorHAnsi" w:hAnsiTheme="majorHAnsi" w:cstheme="majorHAnsi"/>
          <w:sz w:val="21"/>
          <w:szCs w:val="21"/>
        </w:rPr>
      </w:pPr>
    </w:p>
    <w:p w14:paraId="62B9B89C" w14:textId="77777777" w:rsidR="00CA0E97" w:rsidRDefault="00CA0E97" w:rsidP="00CA0E97">
      <w:pPr>
        <w:pStyle w:val="NoSpacing"/>
        <w:jc w:val="both"/>
        <w:rPr>
          <w:rFonts w:asciiTheme="majorHAnsi" w:hAnsiTheme="majorHAnsi" w:cstheme="majorHAnsi"/>
          <w:sz w:val="21"/>
          <w:szCs w:val="21"/>
        </w:rPr>
      </w:pPr>
      <w:r>
        <w:rPr>
          <w:rFonts w:asciiTheme="majorHAnsi" w:hAnsiTheme="majorHAnsi" w:cstheme="majorHAnsi"/>
          <w:sz w:val="21"/>
          <w:szCs w:val="21"/>
        </w:rPr>
        <w:t xml:space="preserve">WHO also emphasizes that health-literacy-responsive systems should help communities understand available services and their rights to access those services. </w:t>
      </w:r>
    </w:p>
    <w:p w14:paraId="09EC3548" w14:textId="77777777" w:rsidR="00CA0E97" w:rsidRDefault="00CA0E97" w:rsidP="00CA0E97">
      <w:pPr>
        <w:pStyle w:val="NoSpacing"/>
        <w:jc w:val="both"/>
        <w:rPr>
          <w:rFonts w:asciiTheme="majorHAnsi" w:hAnsiTheme="majorHAnsi" w:cstheme="majorHAnsi"/>
          <w:sz w:val="21"/>
          <w:szCs w:val="21"/>
        </w:rPr>
      </w:pPr>
    </w:p>
    <w:p w14:paraId="45C4C141" w14:textId="77777777" w:rsidR="00CA0E97" w:rsidRDefault="00CA0E97" w:rsidP="00CA0E97">
      <w:pPr>
        <w:pStyle w:val="NoSpacing"/>
        <w:jc w:val="both"/>
        <w:rPr>
          <w:rFonts w:asciiTheme="majorHAnsi" w:hAnsiTheme="majorHAnsi" w:cstheme="majorHAnsi"/>
          <w:sz w:val="21"/>
          <w:szCs w:val="21"/>
        </w:rPr>
      </w:pPr>
      <w:r>
        <w:rPr>
          <w:rFonts w:asciiTheme="majorHAnsi" w:hAnsiTheme="majorHAnsi" w:cstheme="majorHAnsi"/>
          <w:sz w:val="21"/>
          <w:szCs w:val="21"/>
        </w:rPr>
        <w:t>Health needs also change across the life course. Children may require health education on nutrition, hygiene, immunization, growth, development, and injury prevention. Adolescents may require health information concerning nutrition, mental well-being, physical activity, reproductive health, and risk behaviors. Adults may require greater emphasis on lifestyle-related conditions, chronic disease prevention, screening, occupational health, and family health. Older adults may require support related to chronic disease management, medication safety, nutrition, mobility, and continuity of care.</w:t>
      </w:r>
    </w:p>
    <w:p w14:paraId="2836BA00" w14:textId="77777777" w:rsidR="00CA0E97" w:rsidRDefault="00CA0E97" w:rsidP="00CA0E97">
      <w:pPr>
        <w:pStyle w:val="NoSpacing"/>
        <w:jc w:val="both"/>
        <w:rPr>
          <w:rFonts w:asciiTheme="majorHAnsi" w:hAnsiTheme="majorHAnsi" w:cstheme="majorHAnsi"/>
          <w:sz w:val="21"/>
          <w:szCs w:val="21"/>
        </w:rPr>
      </w:pPr>
    </w:p>
    <w:p w14:paraId="568A4E3E" w14:textId="77777777" w:rsidR="00CA0E97" w:rsidRDefault="00CA0E97" w:rsidP="00CA0E97">
      <w:pPr>
        <w:pStyle w:val="NoSpacing"/>
        <w:jc w:val="both"/>
        <w:rPr>
          <w:rFonts w:asciiTheme="majorHAnsi" w:hAnsiTheme="majorHAnsi" w:cstheme="majorHAnsi"/>
          <w:sz w:val="21"/>
          <w:szCs w:val="21"/>
        </w:rPr>
      </w:pPr>
      <w:r>
        <w:rPr>
          <w:rFonts w:asciiTheme="majorHAnsi" w:hAnsiTheme="majorHAnsi" w:cstheme="majorHAnsi"/>
          <w:sz w:val="21"/>
          <w:szCs w:val="21"/>
        </w:rPr>
        <w:t xml:space="preserve">WHO's work on life-course health similarly recognizes the importance of addressing health and well-being from childhood through adolescence, adulthood, and older age. </w:t>
      </w:r>
    </w:p>
    <w:p w14:paraId="12E87BDD" w14:textId="77777777" w:rsidR="00CA0E97" w:rsidRDefault="00CA0E97" w:rsidP="00CA0E97">
      <w:pPr>
        <w:pStyle w:val="NoSpacing"/>
        <w:jc w:val="both"/>
        <w:rPr>
          <w:rFonts w:asciiTheme="majorHAnsi" w:hAnsiTheme="majorHAnsi" w:cstheme="majorHAnsi"/>
          <w:sz w:val="21"/>
          <w:szCs w:val="21"/>
        </w:rPr>
      </w:pPr>
    </w:p>
    <w:p w14:paraId="7BE490DE" w14:textId="77777777" w:rsidR="00CA0E97" w:rsidRDefault="00CA0E97" w:rsidP="00CA0E97">
      <w:pPr>
        <w:pStyle w:val="NoSpacing"/>
        <w:jc w:val="both"/>
        <w:rPr>
          <w:rFonts w:asciiTheme="majorHAnsi" w:hAnsiTheme="majorHAnsi" w:cstheme="majorHAnsi"/>
          <w:sz w:val="21"/>
          <w:szCs w:val="21"/>
        </w:rPr>
      </w:pPr>
      <w:r>
        <w:rPr>
          <w:rFonts w:asciiTheme="majorHAnsi" w:hAnsiTheme="majorHAnsi" w:cstheme="majorHAnsi"/>
          <w:sz w:val="21"/>
          <w:szCs w:val="21"/>
        </w:rPr>
        <w:t xml:space="preserve">The proposed KUSOG project therefore adopts a </w:t>
      </w:r>
      <w:r>
        <w:rPr>
          <w:rFonts w:asciiTheme="majorHAnsi" w:hAnsiTheme="majorHAnsi" w:cstheme="majorHAnsi"/>
          <w:b/>
          <w:bCs/>
          <w:sz w:val="21"/>
          <w:szCs w:val="21"/>
        </w:rPr>
        <w:t>life-course, family-centered, community-based, and primary health care approach</w:t>
      </w:r>
      <w:r>
        <w:rPr>
          <w:rFonts w:asciiTheme="majorHAnsi" w:hAnsiTheme="majorHAnsi" w:cstheme="majorHAnsi"/>
          <w:sz w:val="21"/>
          <w:szCs w:val="21"/>
        </w:rPr>
        <w:t>.</w:t>
      </w:r>
    </w:p>
    <w:p w14:paraId="0A968EB6" w14:textId="77777777" w:rsidR="00CA0E97" w:rsidRDefault="00CA0E97" w:rsidP="00CA0E97">
      <w:pPr>
        <w:pStyle w:val="NoSpacing"/>
        <w:jc w:val="both"/>
        <w:rPr>
          <w:rFonts w:asciiTheme="majorHAnsi" w:hAnsiTheme="majorHAnsi" w:cstheme="majorHAnsi"/>
          <w:sz w:val="21"/>
          <w:szCs w:val="21"/>
        </w:rPr>
      </w:pPr>
    </w:p>
    <w:p w14:paraId="4CED8B8C" w14:textId="77777777" w:rsidR="00CA0E97" w:rsidRDefault="00CA0E97" w:rsidP="00CA0E97">
      <w:pPr>
        <w:pStyle w:val="NoSpacing"/>
        <w:jc w:val="both"/>
        <w:rPr>
          <w:rFonts w:asciiTheme="majorHAnsi" w:hAnsiTheme="majorHAnsi" w:cstheme="majorHAnsi"/>
          <w:sz w:val="21"/>
          <w:szCs w:val="21"/>
        </w:rPr>
      </w:pPr>
      <w:r>
        <w:rPr>
          <w:rFonts w:asciiTheme="majorHAnsi" w:hAnsiTheme="majorHAnsi" w:cstheme="majorHAnsi"/>
          <w:sz w:val="21"/>
          <w:szCs w:val="21"/>
        </w:rPr>
        <w:t xml:space="preserve">The project is also informed by the School of Nursing's existing research on health literacy and health-seeking behavior. The research involving Persons Deprived of Liberty identified health literacy, recognition of health conditions, access to health information, health-seeking behavior, and needs-based interventions as important areas for health programming. </w:t>
      </w:r>
    </w:p>
    <w:p w14:paraId="500F52E0" w14:textId="77777777" w:rsidR="00CA0E97" w:rsidRDefault="00CA0E97" w:rsidP="00CA0E97">
      <w:pPr>
        <w:pStyle w:val="NoSpacing"/>
        <w:jc w:val="both"/>
        <w:rPr>
          <w:rFonts w:asciiTheme="majorHAnsi" w:hAnsiTheme="majorHAnsi" w:cstheme="majorHAnsi"/>
          <w:sz w:val="21"/>
          <w:szCs w:val="21"/>
        </w:rPr>
      </w:pPr>
    </w:p>
    <w:p w14:paraId="76EB2D1E" w14:textId="77777777" w:rsidR="00CA0E97" w:rsidRDefault="00CA0E97" w:rsidP="00CA0E97">
      <w:pPr>
        <w:pStyle w:val="NoSpacing"/>
        <w:jc w:val="both"/>
        <w:rPr>
          <w:rFonts w:asciiTheme="majorHAnsi" w:hAnsiTheme="majorHAnsi" w:cstheme="majorHAnsi"/>
          <w:sz w:val="21"/>
          <w:szCs w:val="21"/>
        </w:rPr>
      </w:pPr>
      <w:r>
        <w:rPr>
          <w:rFonts w:asciiTheme="majorHAnsi" w:hAnsiTheme="majorHAnsi" w:cstheme="majorHAnsi"/>
          <w:sz w:val="21"/>
          <w:szCs w:val="21"/>
        </w:rPr>
        <w:t>The proposed extension project expands these concepts from a specific vulnerable population to a broader community setting and translates research-informed knowledge into practical nursing extension activities.</w:t>
      </w:r>
    </w:p>
    <w:p w14:paraId="372EDE9F" w14:textId="77777777" w:rsidR="00CA0E97" w:rsidRDefault="00CA0E97" w:rsidP="00CA0E97">
      <w:pPr>
        <w:pStyle w:val="NoSpacing"/>
        <w:jc w:val="both"/>
        <w:rPr>
          <w:rFonts w:asciiTheme="majorHAnsi" w:hAnsiTheme="majorHAnsi" w:cstheme="majorHAnsi"/>
          <w:sz w:val="21"/>
          <w:szCs w:val="21"/>
        </w:rPr>
      </w:pPr>
    </w:p>
    <w:p w14:paraId="1C1F4405" w14:textId="77777777" w:rsidR="00CA0E97" w:rsidRDefault="00CA0E97" w:rsidP="00CA0E97">
      <w:pPr>
        <w:pStyle w:val="NoSpacing"/>
        <w:jc w:val="both"/>
        <w:rPr>
          <w:rFonts w:asciiTheme="majorHAnsi" w:hAnsiTheme="majorHAnsi" w:cstheme="majorHAnsi"/>
          <w:sz w:val="21"/>
          <w:szCs w:val="21"/>
        </w:rPr>
      </w:pPr>
      <w:r>
        <w:rPr>
          <w:rFonts w:asciiTheme="majorHAnsi" w:hAnsiTheme="majorHAnsi" w:cstheme="majorHAnsi"/>
          <w:sz w:val="21"/>
          <w:szCs w:val="21"/>
        </w:rPr>
        <w:t xml:space="preserve">The program will not claim to replace the services of the LGU, DOH, PhilHealth, or other health institutions. Instead, KUSOG will </w:t>
      </w:r>
      <w:r>
        <w:rPr>
          <w:rFonts w:asciiTheme="majorHAnsi" w:hAnsiTheme="majorHAnsi" w:cstheme="majorHAnsi"/>
          <w:b/>
          <w:bCs/>
          <w:sz w:val="21"/>
          <w:szCs w:val="21"/>
        </w:rPr>
        <w:t>complement existing primary health care services</w:t>
      </w:r>
      <w:r>
        <w:rPr>
          <w:rFonts w:asciiTheme="majorHAnsi" w:hAnsiTheme="majorHAnsi" w:cstheme="majorHAnsi"/>
          <w:sz w:val="21"/>
          <w:szCs w:val="21"/>
        </w:rPr>
        <w:t xml:space="preserve"> by improving community health literacy, health promotion, service awareness, and navigation.</w:t>
      </w:r>
    </w:p>
    <w:p w14:paraId="76812784" w14:textId="77777777" w:rsidR="00CA0E97" w:rsidRDefault="00CA0E97" w:rsidP="00CA0E97">
      <w:pPr>
        <w:pStyle w:val="NoSpacing"/>
        <w:jc w:val="both"/>
        <w:rPr>
          <w:rFonts w:asciiTheme="majorHAnsi" w:hAnsiTheme="majorHAnsi" w:cstheme="majorHAnsi"/>
          <w:color w:val="000000"/>
          <w:sz w:val="21"/>
          <w:szCs w:val="21"/>
        </w:rPr>
      </w:pPr>
      <w:r>
        <w:rPr>
          <w:rFonts w:asciiTheme="majorHAnsi" w:hAnsiTheme="majorHAnsi" w:cstheme="majorHAnsi"/>
          <w:color w:val="000000"/>
          <w:sz w:val="21"/>
          <w:szCs w:val="21"/>
        </w:rPr>
        <w:t> </w:t>
      </w:r>
    </w:p>
    <w:p w14:paraId="53D5D987" w14:textId="77777777" w:rsidR="00CA0E97" w:rsidRDefault="00CA0E97" w:rsidP="00CA0E97">
      <w:pPr>
        <w:pStyle w:val="NoSpacing"/>
        <w:jc w:val="both"/>
        <w:rPr>
          <w:rFonts w:asciiTheme="majorHAnsi" w:hAnsiTheme="majorHAnsi" w:cstheme="majorHAnsi"/>
          <w:color w:val="000000"/>
          <w:sz w:val="21"/>
          <w:szCs w:val="21"/>
        </w:rPr>
      </w:pPr>
      <w:r>
        <w:rPr>
          <w:rStyle w:val="Strong"/>
          <w:rFonts w:asciiTheme="majorHAnsi" w:hAnsiTheme="majorHAnsi" w:cstheme="majorHAnsi"/>
          <w:color w:val="000000"/>
          <w:sz w:val="21"/>
          <w:szCs w:val="21"/>
        </w:rPr>
        <w:lastRenderedPageBreak/>
        <w:t>A.1 Alignment to Global, National and Institutional Frameworks</w:t>
      </w:r>
    </w:p>
    <w:p w14:paraId="4E070382" w14:textId="77777777" w:rsidR="00CA0E97" w:rsidRDefault="00CA0E97" w:rsidP="00CA0E97">
      <w:pPr>
        <w:pStyle w:val="NoSpacing"/>
        <w:rPr>
          <w:rStyle w:val="Emphasis"/>
        </w:rPr>
      </w:pPr>
      <w:r>
        <w:rPr>
          <w:rStyle w:val="Strong"/>
          <w:rFonts w:asciiTheme="majorHAnsi" w:hAnsiTheme="majorHAnsi" w:cstheme="majorHAnsi"/>
          <w:color w:val="000000"/>
          <w:sz w:val="21"/>
          <w:szCs w:val="21"/>
        </w:rPr>
        <w:t>A.1.1 S.D.G.</w:t>
      </w:r>
      <w:r>
        <w:rPr>
          <w:rFonts w:asciiTheme="majorHAnsi" w:hAnsiTheme="majorHAnsi" w:cstheme="majorHAnsi"/>
          <w:color w:val="000000"/>
          <w:sz w:val="21"/>
          <w:szCs w:val="21"/>
        </w:rPr>
        <w:t xml:space="preserve"> </w:t>
      </w:r>
      <w:r>
        <w:rPr>
          <w:rStyle w:val="Emphasis"/>
          <w:rFonts w:asciiTheme="majorHAnsi" w:hAnsiTheme="majorHAnsi" w:cstheme="majorHAnsi"/>
          <w:color w:val="000000"/>
          <w:sz w:val="21"/>
          <w:szCs w:val="21"/>
        </w:rPr>
        <w:t>(Sustainable Development Goal)</w:t>
      </w:r>
    </w:p>
    <w:p w14:paraId="7E1E688A" w14:textId="77777777" w:rsidR="00CA0E97" w:rsidRDefault="00CA0E97" w:rsidP="00CA0E97">
      <w:pPr>
        <w:pStyle w:val="NoSpacing"/>
        <w:rPr>
          <w:b/>
          <w:bCs/>
        </w:rPr>
      </w:pPr>
    </w:p>
    <w:p w14:paraId="6F9D7FEC"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SDG 3 – Good Health and Well-Being</w:t>
      </w:r>
    </w:p>
    <w:p w14:paraId="08418270"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KUSOG primarily supports SDG 3 through health promotion, disease prevention, early recognition, health literacy, appropriate health-seeking behavior, and primary health care awareness.</w:t>
      </w:r>
    </w:p>
    <w:p w14:paraId="5435C659"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SDG 4 – Quality Education</w:t>
      </w:r>
    </w:p>
    <w:p w14:paraId="2E071EFF"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The project promotes lifelong health education among community members and experiential learning among nursing students.</w:t>
      </w:r>
    </w:p>
    <w:p w14:paraId="623CEE3B"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SDG 10 – Reduced Inequalities</w:t>
      </w:r>
    </w:p>
    <w:p w14:paraId="568C4638"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The project identifies barriers to health information and health service access among different age and population groups.</w:t>
      </w:r>
    </w:p>
    <w:p w14:paraId="5E6EA4B0"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SDG 11 – Sustainable Cities and Communities</w:t>
      </w:r>
    </w:p>
    <w:p w14:paraId="55B0E5AD"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Healthier and better-informed communities contribute to resilient and sustainable communities.</w:t>
      </w:r>
    </w:p>
    <w:p w14:paraId="7E6813B5"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SDG 17 – Partnerships for the Goals</w:t>
      </w:r>
    </w:p>
    <w:p w14:paraId="79C8FC3D"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The project promotes collaboration among JHCSC, LGUs, barangays, health workers, health facilities, schools, families, and community organizations.</w:t>
      </w:r>
      <w:r>
        <w:rPr>
          <w:rFonts w:asciiTheme="majorHAnsi" w:hAnsiTheme="majorHAnsi" w:cstheme="majorHAnsi"/>
          <w:color w:val="000000"/>
          <w:sz w:val="21"/>
          <w:szCs w:val="21"/>
        </w:rPr>
        <w:br/>
      </w:r>
      <w:r>
        <w:rPr>
          <w:rStyle w:val="fill-line1"/>
          <w:rFonts w:asciiTheme="majorHAnsi" w:hAnsiTheme="majorHAnsi" w:cstheme="majorHAnsi"/>
          <w:color w:val="000000"/>
          <w:sz w:val="21"/>
          <w:szCs w:val="21"/>
          <w:specVanish w:val="0"/>
        </w:rPr>
        <w:t> </w:t>
      </w:r>
    </w:p>
    <w:p w14:paraId="2E81A92C" w14:textId="77777777" w:rsidR="00CA0E97" w:rsidRDefault="00CA0E97" w:rsidP="00CA0E97">
      <w:pPr>
        <w:pStyle w:val="NoSpacing"/>
        <w:rPr>
          <w:rStyle w:val="Emphasis"/>
        </w:rPr>
      </w:pPr>
      <w:r>
        <w:rPr>
          <w:rStyle w:val="Strong"/>
          <w:rFonts w:asciiTheme="majorHAnsi" w:hAnsiTheme="majorHAnsi" w:cstheme="majorHAnsi"/>
          <w:color w:val="000000"/>
          <w:sz w:val="21"/>
          <w:szCs w:val="21"/>
        </w:rPr>
        <w:t>A.1.2 A.C.H.I.E.V.E.</w:t>
      </w:r>
      <w:r>
        <w:rPr>
          <w:rFonts w:asciiTheme="majorHAnsi" w:hAnsiTheme="majorHAnsi" w:cstheme="majorHAnsi"/>
          <w:color w:val="000000"/>
          <w:sz w:val="21"/>
          <w:szCs w:val="21"/>
        </w:rPr>
        <w:br/>
      </w:r>
      <w:r>
        <w:rPr>
          <w:rStyle w:val="Emphasis"/>
          <w:rFonts w:asciiTheme="majorHAnsi" w:hAnsiTheme="majorHAnsi" w:cstheme="majorHAnsi"/>
          <w:color w:val="000000"/>
          <w:sz w:val="21"/>
          <w:szCs w:val="21"/>
        </w:rPr>
        <w:t>(Advanced and Accessible Lifelong Learning, Centralized Human Capital Development, Harmonized SDG-Based Research and Innovation, Integrated Real-Time Data and Analytics, Expanded Internationalization Strategies, Vitalized Policies and Governance, Effective and Efficient Public Service)</w:t>
      </w:r>
    </w:p>
    <w:p w14:paraId="3F43BDF3" w14:textId="77777777" w:rsidR="00CA0E97" w:rsidRDefault="00CA0E97" w:rsidP="00CA0E97">
      <w:pPr>
        <w:pStyle w:val="NoSpacing"/>
        <w:rPr>
          <w:rStyle w:val="Emphasis"/>
          <w:rFonts w:asciiTheme="majorHAnsi" w:hAnsiTheme="majorHAnsi" w:cstheme="majorHAnsi"/>
          <w:color w:val="000000"/>
          <w:sz w:val="21"/>
          <w:szCs w:val="21"/>
        </w:rPr>
      </w:pPr>
    </w:p>
    <w:tbl>
      <w:tblPr>
        <w:tblStyle w:val="TableGrid"/>
        <w:tblW w:w="0" w:type="auto"/>
        <w:tblInd w:w="0" w:type="dxa"/>
        <w:tblLook w:val="04A0" w:firstRow="1" w:lastRow="0" w:firstColumn="1" w:lastColumn="0" w:noHBand="0" w:noVBand="1"/>
      </w:tblPr>
      <w:tblGrid>
        <w:gridCol w:w="4819"/>
        <w:gridCol w:w="4819"/>
      </w:tblGrid>
      <w:tr w:rsidR="00CA0E97" w14:paraId="3F464267" w14:textId="77777777" w:rsidTr="002D11E3">
        <w:tc>
          <w:tcPr>
            <w:tcW w:w="4819" w:type="dxa"/>
            <w:tcBorders>
              <w:top w:val="single" w:sz="4" w:space="0" w:color="auto"/>
              <w:left w:val="single" w:sz="4" w:space="0" w:color="auto"/>
              <w:bottom w:val="single" w:sz="4" w:space="0" w:color="auto"/>
              <w:right w:val="single" w:sz="4" w:space="0" w:color="auto"/>
            </w:tcBorders>
            <w:hideMark/>
          </w:tcPr>
          <w:p w14:paraId="24DAD943" w14:textId="77777777" w:rsidR="00CA0E97" w:rsidRDefault="00CA0E97" w:rsidP="002D11E3">
            <w:pPr>
              <w:pStyle w:val="NoSpacing"/>
              <w:rPr>
                <w:rStyle w:val="Emphasis"/>
                <w:rFonts w:asciiTheme="majorHAnsi" w:hAnsiTheme="majorHAnsi" w:cstheme="majorHAnsi"/>
                <w:i w:val="0"/>
                <w:iCs w:val="0"/>
                <w:color w:val="000000"/>
                <w:sz w:val="21"/>
                <w:szCs w:val="21"/>
              </w:rPr>
            </w:pPr>
            <w:r>
              <w:rPr>
                <w:rFonts w:asciiTheme="majorHAnsi" w:hAnsiTheme="majorHAnsi" w:cstheme="majorHAnsi"/>
                <w:color w:val="000000"/>
                <w:sz w:val="21"/>
                <w:szCs w:val="21"/>
              </w:rPr>
              <w:t>A – Advanced and Accessible lifelong learning</w:t>
            </w:r>
          </w:p>
        </w:tc>
        <w:tc>
          <w:tcPr>
            <w:tcW w:w="4819" w:type="dxa"/>
            <w:tcBorders>
              <w:top w:val="single" w:sz="4" w:space="0" w:color="auto"/>
              <w:left w:val="single" w:sz="4" w:space="0" w:color="auto"/>
              <w:bottom w:val="single" w:sz="4" w:space="0" w:color="auto"/>
              <w:right w:val="single" w:sz="4" w:space="0" w:color="auto"/>
            </w:tcBorders>
            <w:hideMark/>
          </w:tcPr>
          <w:p w14:paraId="7ACDABD7" w14:textId="77777777" w:rsidR="00CA0E97" w:rsidRDefault="00CA0E97" w:rsidP="002D11E3">
            <w:pPr>
              <w:pStyle w:val="NoSpacing"/>
              <w:rPr>
                <w:rStyle w:val="Emphasis"/>
                <w:rFonts w:asciiTheme="majorHAnsi" w:hAnsiTheme="majorHAnsi" w:cstheme="majorHAnsi"/>
                <w:i w:val="0"/>
                <w:iCs w:val="0"/>
                <w:color w:val="000000"/>
                <w:sz w:val="21"/>
                <w:szCs w:val="21"/>
              </w:rPr>
            </w:pPr>
            <w:r>
              <w:rPr>
                <w:rFonts w:asciiTheme="majorHAnsi" w:hAnsiTheme="majorHAnsi" w:cstheme="majorHAnsi"/>
                <w:color w:val="000000"/>
                <w:sz w:val="21"/>
                <w:szCs w:val="21"/>
              </w:rPr>
              <w:t>Provides health education throughout the life course</w:t>
            </w:r>
          </w:p>
        </w:tc>
      </w:tr>
      <w:tr w:rsidR="00CA0E97" w14:paraId="18B43F93" w14:textId="77777777" w:rsidTr="002D11E3">
        <w:tc>
          <w:tcPr>
            <w:tcW w:w="4819" w:type="dxa"/>
            <w:tcBorders>
              <w:top w:val="single" w:sz="4" w:space="0" w:color="auto"/>
              <w:left w:val="single" w:sz="4" w:space="0" w:color="auto"/>
              <w:bottom w:val="single" w:sz="4" w:space="0" w:color="auto"/>
              <w:right w:val="single" w:sz="4" w:space="0" w:color="auto"/>
            </w:tcBorders>
            <w:hideMark/>
          </w:tcPr>
          <w:p w14:paraId="056E4775" w14:textId="77777777" w:rsidR="00CA0E97" w:rsidRDefault="00CA0E97" w:rsidP="002D11E3">
            <w:pPr>
              <w:pStyle w:val="NoSpacing"/>
            </w:pPr>
            <w:r>
              <w:rPr>
                <w:rFonts w:asciiTheme="majorHAnsi" w:hAnsiTheme="majorHAnsi" w:cstheme="majorHAnsi"/>
                <w:color w:val="000000"/>
                <w:sz w:val="21"/>
                <w:szCs w:val="21"/>
              </w:rPr>
              <w:t>C – Centralized Human Capital Development</w:t>
            </w:r>
          </w:p>
        </w:tc>
        <w:tc>
          <w:tcPr>
            <w:tcW w:w="4819" w:type="dxa"/>
            <w:tcBorders>
              <w:top w:val="single" w:sz="4" w:space="0" w:color="auto"/>
              <w:left w:val="single" w:sz="4" w:space="0" w:color="auto"/>
              <w:bottom w:val="single" w:sz="4" w:space="0" w:color="auto"/>
              <w:right w:val="single" w:sz="4" w:space="0" w:color="auto"/>
            </w:tcBorders>
            <w:hideMark/>
          </w:tcPr>
          <w:p w14:paraId="72B80567" w14:textId="77777777" w:rsidR="00CA0E97" w:rsidRDefault="00CA0E97" w:rsidP="002D11E3">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Develops Competencies of Nursing students, faculty, BHW’s and community health worker.</w:t>
            </w:r>
          </w:p>
        </w:tc>
      </w:tr>
      <w:tr w:rsidR="00CA0E97" w14:paraId="1B55BDC3" w14:textId="77777777" w:rsidTr="002D11E3">
        <w:tc>
          <w:tcPr>
            <w:tcW w:w="4819" w:type="dxa"/>
            <w:tcBorders>
              <w:top w:val="single" w:sz="4" w:space="0" w:color="auto"/>
              <w:left w:val="single" w:sz="4" w:space="0" w:color="auto"/>
              <w:bottom w:val="single" w:sz="4" w:space="0" w:color="auto"/>
              <w:right w:val="single" w:sz="4" w:space="0" w:color="auto"/>
            </w:tcBorders>
            <w:hideMark/>
          </w:tcPr>
          <w:p w14:paraId="55F7A751" w14:textId="77777777" w:rsidR="00CA0E97" w:rsidRDefault="00CA0E97" w:rsidP="002D11E3">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H – Harmonized SDG-Based Research and Innovation</w:t>
            </w:r>
          </w:p>
        </w:tc>
        <w:tc>
          <w:tcPr>
            <w:tcW w:w="4819" w:type="dxa"/>
            <w:tcBorders>
              <w:top w:val="single" w:sz="4" w:space="0" w:color="auto"/>
              <w:left w:val="single" w:sz="4" w:space="0" w:color="auto"/>
              <w:bottom w:val="single" w:sz="4" w:space="0" w:color="auto"/>
              <w:right w:val="single" w:sz="4" w:space="0" w:color="auto"/>
            </w:tcBorders>
            <w:hideMark/>
          </w:tcPr>
          <w:p w14:paraId="18DAC21E" w14:textId="77777777" w:rsidR="00CA0E97" w:rsidRDefault="00CA0E97" w:rsidP="002D11E3">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Translate research findings into health extension interventions aligned with SDG3</w:t>
            </w:r>
          </w:p>
        </w:tc>
      </w:tr>
      <w:tr w:rsidR="00CA0E97" w14:paraId="0BED0175" w14:textId="77777777" w:rsidTr="002D11E3">
        <w:tc>
          <w:tcPr>
            <w:tcW w:w="4819" w:type="dxa"/>
            <w:tcBorders>
              <w:top w:val="single" w:sz="4" w:space="0" w:color="auto"/>
              <w:left w:val="single" w:sz="4" w:space="0" w:color="auto"/>
              <w:bottom w:val="single" w:sz="4" w:space="0" w:color="auto"/>
              <w:right w:val="single" w:sz="4" w:space="0" w:color="auto"/>
            </w:tcBorders>
            <w:hideMark/>
          </w:tcPr>
          <w:p w14:paraId="435D928B" w14:textId="77777777" w:rsidR="00CA0E97" w:rsidRDefault="00CA0E97" w:rsidP="002D11E3">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 xml:space="preserve">I – Integrate Real – Time data and Analytics </w:t>
            </w:r>
          </w:p>
        </w:tc>
        <w:tc>
          <w:tcPr>
            <w:tcW w:w="481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96"/>
            </w:tblGrid>
            <w:tr w:rsidR="00CA0E97" w14:paraId="5DCD4884" w14:textId="77777777" w:rsidTr="002D11E3">
              <w:trPr>
                <w:tblCellSpacing w:w="15" w:type="dxa"/>
              </w:trPr>
              <w:tc>
                <w:tcPr>
                  <w:tcW w:w="0" w:type="auto"/>
                  <w:tcMar>
                    <w:top w:w="15" w:type="dxa"/>
                    <w:left w:w="15" w:type="dxa"/>
                    <w:bottom w:w="15" w:type="dxa"/>
                    <w:right w:w="15" w:type="dxa"/>
                  </w:tcMar>
                  <w:vAlign w:val="center"/>
                  <w:hideMark/>
                </w:tcPr>
                <w:p w14:paraId="77CBBAE1" w14:textId="77777777" w:rsidR="00CA0E97" w:rsidRDefault="00CA0E97" w:rsidP="002D11E3">
                  <w:pPr>
                    <w:rPr>
                      <w:rFonts w:asciiTheme="majorHAnsi" w:hAnsiTheme="majorHAnsi" w:cstheme="majorHAnsi"/>
                      <w:color w:val="000000"/>
                      <w:sz w:val="21"/>
                      <w:szCs w:val="21"/>
                    </w:rPr>
                  </w:pPr>
                </w:p>
              </w:tc>
            </w:tr>
          </w:tbl>
          <w:p w14:paraId="2763D6AE" w14:textId="77777777" w:rsidR="00CA0E97" w:rsidRDefault="00CA0E97" w:rsidP="002D11E3">
            <w:pPr>
              <w:pStyle w:val="NoSpacing"/>
              <w:rPr>
                <w:rFonts w:asciiTheme="majorHAnsi" w:hAnsiTheme="majorHAnsi" w:cstheme="majorHAnsi"/>
                <w:vanish/>
                <w:color w:val="000000"/>
                <w:sz w:val="21"/>
                <w:szCs w:val="21"/>
              </w:rPr>
            </w:pPr>
          </w:p>
          <w:p w14:paraId="3C2FAC2D" w14:textId="77777777" w:rsidR="00CA0E97" w:rsidRDefault="00CA0E97" w:rsidP="002D11E3">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Uses community needs assessment and monitoring data to guide activities</w:t>
            </w:r>
          </w:p>
        </w:tc>
      </w:tr>
      <w:tr w:rsidR="00CA0E97" w14:paraId="749DCDD8" w14:textId="77777777" w:rsidTr="002D11E3">
        <w:tc>
          <w:tcPr>
            <w:tcW w:w="4819" w:type="dxa"/>
            <w:tcBorders>
              <w:top w:val="single" w:sz="4" w:space="0" w:color="auto"/>
              <w:left w:val="single" w:sz="4" w:space="0" w:color="auto"/>
              <w:bottom w:val="single" w:sz="4" w:space="0" w:color="auto"/>
              <w:right w:val="single" w:sz="4" w:space="0" w:color="auto"/>
            </w:tcBorders>
            <w:hideMark/>
          </w:tcPr>
          <w:p w14:paraId="1E5DA771" w14:textId="77777777" w:rsidR="00CA0E97" w:rsidRDefault="00CA0E97" w:rsidP="002D11E3">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E – Expanded Internalization Strategies</w:t>
            </w:r>
          </w:p>
        </w:tc>
        <w:tc>
          <w:tcPr>
            <w:tcW w:w="4819" w:type="dxa"/>
            <w:tcBorders>
              <w:top w:val="single" w:sz="4" w:space="0" w:color="auto"/>
              <w:left w:val="single" w:sz="4" w:space="0" w:color="auto"/>
              <w:bottom w:val="single" w:sz="4" w:space="0" w:color="auto"/>
              <w:right w:val="single" w:sz="4" w:space="0" w:color="auto"/>
            </w:tcBorders>
            <w:hideMark/>
          </w:tcPr>
          <w:p w14:paraId="09ED6DE6" w14:textId="77777777" w:rsidR="00CA0E97" w:rsidRDefault="00CA0E97" w:rsidP="002D11E3">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Creates potential for Future Collaboration and comparative community health initiatives</w:t>
            </w:r>
          </w:p>
        </w:tc>
      </w:tr>
      <w:tr w:rsidR="00CA0E97" w14:paraId="01103A32" w14:textId="77777777" w:rsidTr="002D11E3">
        <w:tc>
          <w:tcPr>
            <w:tcW w:w="4819" w:type="dxa"/>
            <w:tcBorders>
              <w:top w:val="single" w:sz="4" w:space="0" w:color="auto"/>
              <w:left w:val="single" w:sz="4" w:space="0" w:color="auto"/>
              <w:bottom w:val="single" w:sz="4" w:space="0" w:color="auto"/>
              <w:right w:val="single" w:sz="4" w:space="0" w:color="auto"/>
            </w:tcBorders>
            <w:hideMark/>
          </w:tcPr>
          <w:p w14:paraId="64EEC7A2" w14:textId="77777777" w:rsidR="00CA0E97" w:rsidRDefault="00CA0E97" w:rsidP="002D11E3">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V – Vitalized Policies and Governance</w:t>
            </w:r>
          </w:p>
        </w:tc>
        <w:tc>
          <w:tcPr>
            <w:tcW w:w="4819" w:type="dxa"/>
            <w:tcBorders>
              <w:top w:val="single" w:sz="4" w:space="0" w:color="auto"/>
              <w:left w:val="single" w:sz="4" w:space="0" w:color="auto"/>
              <w:bottom w:val="single" w:sz="4" w:space="0" w:color="auto"/>
              <w:right w:val="single" w:sz="4" w:space="0" w:color="auto"/>
            </w:tcBorders>
            <w:hideMark/>
          </w:tcPr>
          <w:p w14:paraId="376D8EE8" w14:textId="77777777" w:rsidR="00CA0E97" w:rsidRDefault="00CA0E97" w:rsidP="002D11E3">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Generates community – level information that mat support local health planning</w:t>
            </w:r>
          </w:p>
        </w:tc>
      </w:tr>
      <w:tr w:rsidR="00CA0E97" w14:paraId="78E8E417" w14:textId="77777777" w:rsidTr="002D11E3">
        <w:tc>
          <w:tcPr>
            <w:tcW w:w="4819" w:type="dxa"/>
            <w:tcBorders>
              <w:top w:val="single" w:sz="4" w:space="0" w:color="auto"/>
              <w:left w:val="single" w:sz="4" w:space="0" w:color="auto"/>
              <w:bottom w:val="single" w:sz="4" w:space="0" w:color="auto"/>
              <w:right w:val="single" w:sz="4" w:space="0" w:color="auto"/>
            </w:tcBorders>
            <w:hideMark/>
          </w:tcPr>
          <w:p w14:paraId="66953075" w14:textId="77777777" w:rsidR="00CA0E97" w:rsidRDefault="00CA0E97" w:rsidP="002D11E3">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E – Effective and Efficient Public Service</w:t>
            </w:r>
          </w:p>
        </w:tc>
        <w:tc>
          <w:tcPr>
            <w:tcW w:w="4819" w:type="dxa"/>
            <w:tcBorders>
              <w:top w:val="single" w:sz="4" w:space="0" w:color="auto"/>
              <w:left w:val="single" w:sz="4" w:space="0" w:color="auto"/>
              <w:bottom w:val="single" w:sz="4" w:space="0" w:color="auto"/>
              <w:right w:val="single" w:sz="4" w:space="0" w:color="auto"/>
            </w:tcBorders>
            <w:hideMark/>
          </w:tcPr>
          <w:p w14:paraId="0470DD5D" w14:textId="77777777" w:rsidR="00CA0E97" w:rsidRDefault="00CA0E97" w:rsidP="002D11E3">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Converts academic Nursing expertise into community -based health education and extension services.</w:t>
            </w:r>
          </w:p>
        </w:tc>
      </w:tr>
    </w:tbl>
    <w:p w14:paraId="1983461C"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w:t>
      </w:r>
      <w:r>
        <w:rPr>
          <w:rFonts w:asciiTheme="majorHAnsi" w:hAnsiTheme="majorHAnsi" w:cstheme="majorHAnsi"/>
          <w:color w:val="000000"/>
          <w:sz w:val="21"/>
          <w:szCs w:val="21"/>
        </w:rPr>
        <w:tab/>
      </w:r>
    </w:p>
    <w:p w14:paraId="5C256E78" w14:textId="77777777" w:rsidR="00CA0E97" w:rsidRDefault="00CA0E97" w:rsidP="00CA0E97">
      <w:pPr>
        <w:pStyle w:val="NoSpacing"/>
        <w:rPr>
          <w:rStyle w:val="fill-line1"/>
        </w:rPr>
      </w:pPr>
      <w:r>
        <w:rPr>
          <w:rStyle w:val="Strong"/>
          <w:rFonts w:asciiTheme="majorHAnsi" w:hAnsiTheme="majorHAnsi" w:cstheme="majorHAnsi"/>
          <w:color w:val="000000"/>
          <w:sz w:val="21"/>
          <w:szCs w:val="21"/>
        </w:rPr>
        <w:t>A.1.3 R.E.S.I.L.I.E.N.T.</w:t>
      </w:r>
      <w:r>
        <w:rPr>
          <w:rFonts w:asciiTheme="majorHAnsi" w:hAnsiTheme="majorHAnsi" w:cstheme="majorHAnsi"/>
          <w:color w:val="000000"/>
          <w:sz w:val="21"/>
          <w:szCs w:val="21"/>
        </w:rPr>
        <w:br/>
      </w:r>
      <w:r>
        <w:rPr>
          <w:rStyle w:val="Emphasis"/>
          <w:rFonts w:asciiTheme="majorHAnsi" w:hAnsiTheme="majorHAnsi" w:cstheme="majorHAnsi"/>
          <w:color w:val="000000"/>
          <w:sz w:val="21"/>
          <w:szCs w:val="21"/>
        </w:rPr>
        <w:t>(Research-driven, SDG-based, and industry responsive education, Empowered Communities and Effective Public Service, Strategic student affairs, culture, International Institutional linkages, and development, Learning Excellence anchored in Quality Assurance, accreditation and Partnerships, Inclusive Governance and Vitalized Policies, Enhanced research culture with global relevance and innovation impact, Nurtured Professional Excellence and Workforce Development, Technology integration &amp; Infrastructure Development for Advancement and Real-time Analytics)</w:t>
      </w:r>
      <w:r>
        <w:rPr>
          <w:rFonts w:asciiTheme="majorHAnsi" w:hAnsiTheme="majorHAnsi" w:cstheme="majorHAnsi"/>
          <w:color w:val="000000"/>
          <w:sz w:val="21"/>
          <w:szCs w:val="21"/>
        </w:rPr>
        <w:br/>
      </w:r>
    </w:p>
    <w:p w14:paraId="230BEAAE" w14:textId="77777777" w:rsidR="00CA0E97" w:rsidRDefault="00CA0E97" w:rsidP="00CA0E97">
      <w:pPr>
        <w:pStyle w:val="NoSpacing"/>
      </w:pPr>
      <w:r>
        <w:rPr>
          <w:rStyle w:val="fill-line1"/>
          <w:rFonts w:asciiTheme="majorHAnsi" w:hAnsiTheme="majorHAnsi" w:cstheme="majorHAnsi"/>
          <w:color w:val="000000"/>
          <w:sz w:val="21"/>
          <w:szCs w:val="21"/>
          <w:specVanish w:val="0"/>
        </w:rPr>
        <w:t> </w:t>
      </w:r>
      <w:r>
        <w:rPr>
          <w:rFonts w:asciiTheme="majorHAnsi" w:hAnsiTheme="majorHAnsi" w:cstheme="majorHAnsi"/>
          <w:color w:val="000000"/>
          <w:sz w:val="21"/>
          <w:szCs w:val="21"/>
        </w:rPr>
        <w:t>KUSOG contributes to the RESILIENT framework through:</w:t>
      </w:r>
    </w:p>
    <w:p w14:paraId="1B36DD12" w14:textId="77777777" w:rsidR="00CA0E97" w:rsidRDefault="00CA0E97" w:rsidP="00CA0E97">
      <w:pPr>
        <w:pStyle w:val="NoSpacing"/>
        <w:rPr>
          <w:rFonts w:asciiTheme="majorHAnsi" w:hAnsiTheme="majorHAnsi" w:cstheme="majorHAnsi"/>
          <w:b/>
          <w:bCs/>
          <w:color w:val="000000"/>
          <w:sz w:val="21"/>
          <w:szCs w:val="21"/>
        </w:rPr>
      </w:pPr>
    </w:p>
    <w:p w14:paraId="22CBB66F"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Research-driven, SDG-based, and industry-responsive education</w:t>
      </w:r>
    </w:p>
    <w:p w14:paraId="7C229151"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Nursing students will apply evidence-based community health principles.</w:t>
      </w:r>
    </w:p>
    <w:p w14:paraId="552DDE30"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lastRenderedPageBreak/>
        <w:t>Empowered Communities and Effective Public Service</w:t>
      </w:r>
    </w:p>
    <w:p w14:paraId="5BB1CAC0"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Community members will participate in identifying health needs and solutions.</w:t>
      </w:r>
    </w:p>
    <w:p w14:paraId="4EBC167E"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Strategic Student Affairs, Culture, and International Institutional Linkages</w:t>
      </w:r>
    </w:p>
    <w:p w14:paraId="20B7CB73"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The project provides meaningful community engagement for nursing students.</w:t>
      </w:r>
    </w:p>
    <w:p w14:paraId="4604AEED"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Learning Excellence</w:t>
      </w:r>
    </w:p>
    <w:p w14:paraId="3CB7A41F"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Activities will be supervised by qualified nursing faculty and evaluated systematically.</w:t>
      </w:r>
    </w:p>
    <w:p w14:paraId="6C2013EC"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Inclusive Governance and Vitalized Policies</w:t>
      </w:r>
    </w:p>
    <w:p w14:paraId="25A93CB2"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Community stakeholders will participate in program planning and implementation.</w:t>
      </w:r>
    </w:p>
    <w:p w14:paraId="688A4B28"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Enhanced Research Culture</w:t>
      </w:r>
    </w:p>
    <w:p w14:paraId="1C723D36"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Research findings will be translated into extension interventions.</w:t>
      </w:r>
    </w:p>
    <w:p w14:paraId="65A307DF"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Nurtured Professional Excellence</w:t>
      </w:r>
    </w:p>
    <w:p w14:paraId="3A71EC40"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Nursing students and health workers will develop health education, communication, and community engagement competencies.</w:t>
      </w:r>
    </w:p>
    <w:p w14:paraId="3F811EDA"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Technology Integration</w:t>
      </w:r>
    </w:p>
    <w:p w14:paraId="57897599"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Digital and printed IEC materials may be used to improve access to health information.</w:t>
      </w:r>
    </w:p>
    <w:p w14:paraId="4F7157B5" w14:textId="77777777" w:rsidR="00CA0E97" w:rsidRDefault="00CA0E97" w:rsidP="00CA0E97">
      <w:pPr>
        <w:pStyle w:val="NoSpacing"/>
        <w:rPr>
          <w:rFonts w:asciiTheme="majorHAnsi" w:hAnsiTheme="majorHAnsi" w:cstheme="majorHAnsi"/>
          <w:color w:val="000000"/>
          <w:sz w:val="21"/>
          <w:szCs w:val="21"/>
        </w:rPr>
      </w:pPr>
    </w:p>
    <w:p w14:paraId="4A3E8E86" w14:textId="77777777" w:rsidR="00CA0E97" w:rsidRDefault="00CA0E97" w:rsidP="00CA0E97">
      <w:pPr>
        <w:pStyle w:val="NoSpacing"/>
        <w:rPr>
          <w:rFonts w:asciiTheme="majorHAnsi" w:hAnsiTheme="majorHAnsi" w:cstheme="majorHAnsi"/>
          <w:b/>
          <w:bCs/>
          <w:color w:val="000000"/>
          <w:sz w:val="21"/>
          <w:szCs w:val="21"/>
        </w:rPr>
      </w:pPr>
      <w:r>
        <w:rPr>
          <w:rStyle w:val="Strong"/>
          <w:rFonts w:asciiTheme="majorHAnsi" w:hAnsiTheme="majorHAnsi" w:cstheme="majorHAnsi"/>
          <w:color w:val="000000"/>
          <w:sz w:val="21"/>
          <w:szCs w:val="21"/>
        </w:rPr>
        <w:t>A.1.4 T.A.B.A.N.G.E.</w:t>
      </w:r>
      <w:r>
        <w:rPr>
          <w:rFonts w:asciiTheme="majorHAnsi" w:hAnsiTheme="majorHAnsi" w:cstheme="majorHAnsi"/>
          <w:color w:val="000000"/>
          <w:sz w:val="21"/>
          <w:szCs w:val="21"/>
        </w:rPr>
        <w:br/>
      </w:r>
      <w:r>
        <w:rPr>
          <w:rStyle w:val="Emphasis"/>
          <w:rFonts w:asciiTheme="majorHAnsi" w:hAnsiTheme="majorHAnsi" w:cstheme="majorHAnsi"/>
          <w:color w:val="000000"/>
          <w:sz w:val="21"/>
          <w:szCs w:val="21"/>
        </w:rPr>
        <w:t>(Technology and Literacy initiatives, Agriculture and Aquatic Resources Management, Barangay Empowerment and Good Governance, Adopt a Community, Nutrition and Health Programs, Gender Development and Income Generation, Environmental Resource Conservation and Disaster Risk Reduction)</w:t>
      </w:r>
      <w:r>
        <w:rPr>
          <w:rFonts w:asciiTheme="majorHAnsi" w:hAnsiTheme="majorHAnsi" w:cstheme="majorHAnsi"/>
          <w:color w:val="000000"/>
          <w:sz w:val="21"/>
          <w:szCs w:val="21"/>
        </w:rPr>
        <w:br/>
      </w:r>
      <w:r>
        <w:rPr>
          <w:rFonts w:asciiTheme="majorHAnsi" w:hAnsiTheme="majorHAnsi" w:cstheme="majorHAnsi"/>
          <w:b/>
          <w:bCs/>
          <w:color w:val="000000"/>
          <w:sz w:val="21"/>
          <w:szCs w:val="21"/>
        </w:rPr>
        <w:t>T – Technology and Literacy Initiatives</w:t>
      </w:r>
    </w:p>
    <w:p w14:paraId="5CEE875D"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KUSOG will develop accessible health-information materials, including printed and digital IEC materials.</w:t>
      </w:r>
    </w:p>
    <w:p w14:paraId="45CBEF13"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A – Agriculture and Aquatic Resources Management</w:t>
      </w:r>
    </w:p>
    <w:p w14:paraId="3B9F8225"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Where appropriate, nutrition activities may incorporate locally available nutritious agricultural and aquatic resources.</w:t>
      </w:r>
    </w:p>
    <w:p w14:paraId="7150A1E6"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B – Barangay Empowerment and Good Governance</w:t>
      </w:r>
    </w:p>
    <w:p w14:paraId="3D5FFA4D"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The project will actively involve barangay officials, BHWs, families, and community representatives.</w:t>
      </w:r>
    </w:p>
    <w:p w14:paraId="26123EA8"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 xml:space="preserve">A – Adopt a </w:t>
      </w:r>
      <w:proofErr w:type="gramStart"/>
      <w:r>
        <w:rPr>
          <w:rFonts w:asciiTheme="majorHAnsi" w:hAnsiTheme="majorHAnsi" w:cstheme="majorHAnsi"/>
          <w:b/>
          <w:bCs/>
          <w:color w:val="000000"/>
          <w:sz w:val="21"/>
          <w:szCs w:val="21"/>
        </w:rPr>
        <w:t>Community</w:t>
      </w:r>
      <w:proofErr w:type="gramEnd"/>
    </w:p>
    <w:p w14:paraId="24FA6EFA"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The selected community will serve as the primary setting for sustained School of Nursing extension activities.</w:t>
      </w:r>
    </w:p>
    <w:p w14:paraId="36802C49"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N – Nutrition and Health Programs</w:t>
      </w:r>
    </w:p>
    <w:p w14:paraId="6E2FC096"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This is a major focus of KUSOG through nutrition education, healthy lifestyle promotion, disease prevention, and health literacy.</w:t>
      </w:r>
    </w:p>
    <w:p w14:paraId="38FC330D"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G – Gender Development and Income Generation</w:t>
      </w:r>
    </w:p>
    <w:p w14:paraId="3E3F5D9A"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Health education will recognize gender-responsive health concerns and the relationship between health and productivity.</w:t>
      </w:r>
    </w:p>
    <w:p w14:paraId="1FF6BBA8" w14:textId="77777777" w:rsidR="00CA0E97" w:rsidRDefault="00CA0E97" w:rsidP="00CA0E97">
      <w:pPr>
        <w:pStyle w:val="NoSpacing"/>
        <w:rPr>
          <w:rFonts w:asciiTheme="majorHAnsi" w:hAnsiTheme="majorHAnsi" w:cstheme="majorHAnsi"/>
          <w:b/>
          <w:bCs/>
          <w:color w:val="000000"/>
          <w:sz w:val="21"/>
          <w:szCs w:val="21"/>
        </w:rPr>
      </w:pPr>
      <w:r>
        <w:rPr>
          <w:rFonts w:asciiTheme="majorHAnsi" w:hAnsiTheme="majorHAnsi" w:cstheme="majorHAnsi"/>
          <w:b/>
          <w:bCs/>
          <w:color w:val="000000"/>
          <w:sz w:val="21"/>
          <w:szCs w:val="21"/>
        </w:rPr>
        <w:t>E – Environmental Resource Conservation and Disaster Risk Reduction</w:t>
      </w:r>
    </w:p>
    <w:p w14:paraId="5789E649" w14:textId="77777777" w:rsidR="00CA0E97" w:rsidRDefault="00CA0E97" w:rsidP="00CA0E97">
      <w:pPr>
        <w:pStyle w:val="NoSpacing"/>
        <w:rPr>
          <w:rFonts w:asciiTheme="majorHAnsi" w:hAnsiTheme="majorHAnsi" w:cstheme="majorHAnsi"/>
          <w:color w:val="000000"/>
          <w:sz w:val="21"/>
          <w:szCs w:val="21"/>
        </w:rPr>
      </w:pPr>
      <w:r>
        <w:rPr>
          <w:rFonts w:asciiTheme="majorHAnsi" w:hAnsiTheme="majorHAnsi" w:cstheme="majorHAnsi"/>
          <w:color w:val="000000"/>
          <w:sz w:val="21"/>
          <w:szCs w:val="21"/>
        </w:rPr>
        <w:t>The project may incorporate sanitation, environmental health, household safety, and health-related disaster preparedness.</w:t>
      </w:r>
    </w:p>
    <w:p w14:paraId="60545895" w14:textId="77777777" w:rsidR="00CA0E97" w:rsidRDefault="00CA0E97" w:rsidP="00CA0E97">
      <w:pPr>
        <w:pStyle w:val="NoSpacing"/>
        <w:rPr>
          <w:rFonts w:asciiTheme="majorHAnsi" w:eastAsia="Times New Roman" w:hAnsiTheme="majorHAnsi" w:cstheme="majorHAnsi"/>
          <w:color w:val="000000"/>
          <w:sz w:val="21"/>
          <w:szCs w:val="21"/>
        </w:rPr>
      </w:pPr>
    </w:p>
    <w:p w14:paraId="1ED732B5" w14:textId="77777777" w:rsidR="00CA0E97" w:rsidRDefault="00CA0E97" w:rsidP="00CA0E97">
      <w:pPr>
        <w:pStyle w:val="NoSpacing"/>
        <w:rPr>
          <w:rFonts w:asciiTheme="majorHAnsi" w:eastAsia="Times New Roman" w:hAnsiTheme="majorHAnsi" w:cstheme="majorHAnsi"/>
          <w:color w:val="000000"/>
          <w:sz w:val="21"/>
          <w:szCs w:val="21"/>
        </w:rPr>
      </w:pPr>
    </w:p>
    <w:p w14:paraId="40C116C8" w14:textId="77777777" w:rsidR="00CA0E97" w:rsidRDefault="00CA0E97" w:rsidP="00CA0E97">
      <w:pPr>
        <w:pStyle w:val="NoSpacing"/>
        <w:rPr>
          <w:rFonts w:asciiTheme="majorHAnsi" w:eastAsia="Times New Roman" w:hAnsiTheme="majorHAnsi" w:cstheme="majorHAnsi"/>
          <w:color w:val="000000"/>
          <w:sz w:val="21"/>
          <w:szCs w:val="21"/>
        </w:rPr>
      </w:pPr>
    </w:p>
    <w:p w14:paraId="4A93C601" w14:textId="77777777" w:rsidR="00CA0E97" w:rsidRDefault="00CA0E97" w:rsidP="00CA0E97">
      <w:pPr>
        <w:pStyle w:val="NoSpacing"/>
        <w:rPr>
          <w:rFonts w:asciiTheme="majorHAnsi" w:eastAsia="Times New Roman" w:hAnsiTheme="majorHAnsi" w:cstheme="majorHAnsi"/>
          <w:color w:val="000000"/>
          <w:sz w:val="21"/>
          <w:szCs w:val="21"/>
        </w:rPr>
      </w:pPr>
    </w:p>
    <w:p w14:paraId="221FFBEB" w14:textId="77777777" w:rsidR="00CA0E97" w:rsidRDefault="00CA0E97" w:rsidP="00CA0E97">
      <w:pPr>
        <w:pStyle w:val="NoSpacing"/>
        <w:rPr>
          <w:rFonts w:asciiTheme="majorHAnsi" w:eastAsia="Times New Roman" w:hAnsiTheme="majorHAnsi" w:cstheme="majorHAnsi"/>
          <w:color w:val="000000"/>
          <w:sz w:val="21"/>
          <w:szCs w:val="21"/>
        </w:rPr>
      </w:pPr>
    </w:p>
    <w:p w14:paraId="40101AE5" w14:textId="77777777" w:rsidR="00CA0E97" w:rsidRDefault="00CA0E97" w:rsidP="00CA0E97">
      <w:pPr>
        <w:pStyle w:val="NoSpacing"/>
        <w:rPr>
          <w:rFonts w:asciiTheme="majorHAnsi" w:eastAsia="Times New Roman" w:hAnsiTheme="majorHAnsi" w:cstheme="majorHAnsi"/>
          <w:color w:val="000000"/>
          <w:sz w:val="21"/>
          <w:szCs w:val="21"/>
        </w:rPr>
      </w:pPr>
    </w:p>
    <w:p w14:paraId="44E4A9B1" w14:textId="77777777" w:rsidR="00CA0E97" w:rsidRDefault="00CA0E97" w:rsidP="00CA0E97">
      <w:pPr>
        <w:pStyle w:val="NoSpacing"/>
        <w:rPr>
          <w:rFonts w:asciiTheme="majorHAnsi" w:eastAsia="Times New Roman" w:hAnsiTheme="majorHAnsi" w:cstheme="majorHAnsi"/>
          <w:color w:val="000000"/>
          <w:sz w:val="21"/>
          <w:szCs w:val="21"/>
        </w:rPr>
      </w:pPr>
    </w:p>
    <w:p w14:paraId="134ED7BA" w14:textId="77777777" w:rsidR="00CA0E97" w:rsidRDefault="00CA0E97" w:rsidP="00CA0E97">
      <w:pPr>
        <w:pStyle w:val="NoSpacing"/>
        <w:rPr>
          <w:rFonts w:asciiTheme="majorHAnsi" w:eastAsia="Times New Roman" w:hAnsiTheme="majorHAnsi" w:cstheme="majorHAnsi"/>
          <w:color w:val="000000"/>
          <w:sz w:val="21"/>
          <w:szCs w:val="21"/>
        </w:rPr>
      </w:pPr>
    </w:p>
    <w:p w14:paraId="52B6A7AD" w14:textId="77777777" w:rsidR="00CA0E97" w:rsidRDefault="00CA0E97" w:rsidP="00CA0E97">
      <w:pPr>
        <w:pStyle w:val="NoSpacing"/>
        <w:rPr>
          <w:rFonts w:asciiTheme="majorHAnsi" w:eastAsia="Times New Roman" w:hAnsiTheme="majorHAnsi" w:cstheme="majorHAnsi"/>
          <w:color w:val="000000"/>
          <w:sz w:val="21"/>
          <w:szCs w:val="21"/>
        </w:rPr>
      </w:pPr>
    </w:p>
    <w:p w14:paraId="444B7F06" w14:textId="77777777" w:rsidR="00CA0E97" w:rsidRDefault="00CA0E97" w:rsidP="00CA0E97">
      <w:pPr>
        <w:pStyle w:val="NoSpacing"/>
        <w:rPr>
          <w:rFonts w:asciiTheme="majorHAnsi" w:eastAsia="Times New Roman" w:hAnsiTheme="majorHAnsi" w:cstheme="majorHAnsi"/>
          <w:color w:val="000000"/>
          <w:sz w:val="21"/>
          <w:szCs w:val="21"/>
        </w:rPr>
      </w:pPr>
    </w:p>
    <w:p w14:paraId="1F54E797" w14:textId="77777777" w:rsidR="00CA0E97" w:rsidRDefault="00CA0E97" w:rsidP="00CA0E97">
      <w:pPr>
        <w:pStyle w:val="NoSpacing"/>
        <w:rPr>
          <w:rFonts w:asciiTheme="majorHAnsi" w:eastAsia="Times New Roman" w:hAnsiTheme="majorHAnsi" w:cstheme="majorHAnsi"/>
          <w:color w:val="000000"/>
          <w:sz w:val="21"/>
          <w:szCs w:val="21"/>
        </w:rPr>
      </w:pPr>
    </w:p>
    <w:p w14:paraId="1745609A" w14:textId="77777777" w:rsidR="00CA0E97" w:rsidRDefault="00CA0E97" w:rsidP="00CA0E97">
      <w:pPr>
        <w:pStyle w:val="NoSpacing"/>
        <w:rPr>
          <w:rFonts w:asciiTheme="majorHAnsi" w:eastAsia="Times New Roman" w:hAnsiTheme="majorHAnsi" w:cstheme="majorHAnsi"/>
          <w:color w:val="000000"/>
          <w:sz w:val="21"/>
          <w:szCs w:val="21"/>
        </w:rPr>
      </w:pPr>
    </w:p>
    <w:p w14:paraId="5B97B821" w14:textId="77777777" w:rsidR="00CA0E97" w:rsidRDefault="00CA0E97" w:rsidP="00CA0E97">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lastRenderedPageBreak/>
        <w:t>B. Specific Objectives.</w:t>
      </w:r>
    </w:p>
    <w:p w14:paraId="667FAF11" w14:textId="77777777" w:rsidR="00CA0E97" w:rsidRDefault="00CA0E97" w:rsidP="00CA0E97">
      <w:pPr>
        <w:pStyle w:val="NoSpacing"/>
        <w:jc w:val="both"/>
        <w:rPr>
          <w:rFonts w:asciiTheme="majorHAnsi" w:hAnsiTheme="majorHAnsi" w:cstheme="majorHAnsi"/>
          <w:color w:val="444444"/>
          <w:sz w:val="21"/>
          <w:szCs w:val="21"/>
        </w:rPr>
      </w:pPr>
      <w:r>
        <w:rPr>
          <w:rFonts w:asciiTheme="majorHAnsi" w:hAnsiTheme="majorHAnsi" w:cstheme="majorHAnsi"/>
          <w:color w:val="444444"/>
          <w:sz w:val="21"/>
          <w:szCs w:val="21"/>
        </w:rPr>
        <w:t>The project aims to:</w:t>
      </w:r>
    </w:p>
    <w:p w14:paraId="4B6BFA4A" w14:textId="77777777" w:rsidR="00CA0E97" w:rsidRDefault="00CA0E97" w:rsidP="00CA0E97">
      <w:pPr>
        <w:pStyle w:val="NoSpacing"/>
        <w:numPr>
          <w:ilvl w:val="0"/>
          <w:numId w:val="6"/>
        </w:numPr>
        <w:jc w:val="both"/>
        <w:rPr>
          <w:rFonts w:asciiTheme="majorHAnsi" w:hAnsiTheme="majorHAnsi" w:cstheme="majorHAnsi"/>
          <w:color w:val="444444"/>
          <w:sz w:val="21"/>
          <w:szCs w:val="21"/>
        </w:rPr>
      </w:pPr>
      <w:r>
        <w:rPr>
          <w:rFonts w:asciiTheme="majorHAnsi" w:hAnsiTheme="majorHAnsi" w:cstheme="majorHAnsi"/>
          <w:color w:val="444444"/>
          <w:sz w:val="21"/>
          <w:szCs w:val="21"/>
        </w:rPr>
        <w:t xml:space="preserve">Conduct a community health needs assessment across different life-course groups. </w:t>
      </w:r>
    </w:p>
    <w:p w14:paraId="086DBDEE" w14:textId="77777777" w:rsidR="00CA0E97" w:rsidRDefault="00CA0E97" w:rsidP="00CA0E97">
      <w:pPr>
        <w:pStyle w:val="NoSpacing"/>
        <w:numPr>
          <w:ilvl w:val="0"/>
          <w:numId w:val="6"/>
        </w:numPr>
        <w:jc w:val="both"/>
        <w:rPr>
          <w:rFonts w:asciiTheme="majorHAnsi" w:hAnsiTheme="majorHAnsi" w:cstheme="majorHAnsi"/>
          <w:color w:val="444444"/>
          <w:sz w:val="21"/>
          <w:szCs w:val="21"/>
        </w:rPr>
      </w:pPr>
      <w:r>
        <w:rPr>
          <w:rFonts w:asciiTheme="majorHAnsi" w:hAnsiTheme="majorHAnsi" w:cstheme="majorHAnsi"/>
          <w:color w:val="444444"/>
          <w:sz w:val="21"/>
          <w:szCs w:val="21"/>
        </w:rPr>
        <w:t xml:space="preserve">Improve health literacy among children, adolescents, adults, older adults, families, and caregivers. </w:t>
      </w:r>
    </w:p>
    <w:p w14:paraId="751C0D27" w14:textId="77777777" w:rsidR="00CA0E97" w:rsidRDefault="00CA0E97" w:rsidP="00CA0E97">
      <w:pPr>
        <w:pStyle w:val="NoSpacing"/>
        <w:numPr>
          <w:ilvl w:val="0"/>
          <w:numId w:val="6"/>
        </w:numPr>
        <w:jc w:val="both"/>
        <w:rPr>
          <w:rFonts w:asciiTheme="majorHAnsi" w:hAnsiTheme="majorHAnsi" w:cstheme="majorHAnsi"/>
          <w:color w:val="444444"/>
          <w:sz w:val="21"/>
          <w:szCs w:val="21"/>
        </w:rPr>
      </w:pPr>
      <w:r>
        <w:rPr>
          <w:rFonts w:asciiTheme="majorHAnsi" w:hAnsiTheme="majorHAnsi" w:cstheme="majorHAnsi"/>
          <w:color w:val="444444"/>
          <w:sz w:val="21"/>
          <w:szCs w:val="21"/>
        </w:rPr>
        <w:t xml:space="preserve">Promote healthy lifestyle practices and disease prevention. </w:t>
      </w:r>
    </w:p>
    <w:p w14:paraId="50318C20" w14:textId="77777777" w:rsidR="00CA0E97" w:rsidRDefault="00CA0E97" w:rsidP="00CA0E97">
      <w:pPr>
        <w:pStyle w:val="NoSpacing"/>
        <w:numPr>
          <w:ilvl w:val="0"/>
          <w:numId w:val="6"/>
        </w:numPr>
        <w:jc w:val="both"/>
        <w:rPr>
          <w:rFonts w:asciiTheme="majorHAnsi" w:hAnsiTheme="majorHAnsi" w:cstheme="majorHAnsi"/>
          <w:color w:val="444444"/>
          <w:sz w:val="21"/>
          <w:szCs w:val="21"/>
        </w:rPr>
      </w:pPr>
      <w:r>
        <w:rPr>
          <w:rFonts w:asciiTheme="majorHAnsi" w:hAnsiTheme="majorHAnsi" w:cstheme="majorHAnsi"/>
          <w:color w:val="444444"/>
          <w:sz w:val="21"/>
          <w:szCs w:val="21"/>
        </w:rPr>
        <w:t xml:space="preserve">Increase awareness of common health risks and warning signs. </w:t>
      </w:r>
    </w:p>
    <w:p w14:paraId="17D98450" w14:textId="77777777" w:rsidR="00CA0E97" w:rsidRDefault="00CA0E97" w:rsidP="00CA0E97">
      <w:pPr>
        <w:pStyle w:val="NoSpacing"/>
        <w:numPr>
          <w:ilvl w:val="0"/>
          <w:numId w:val="6"/>
        </w:numPr>
        <w:jc w:val="both"/>
        <w:rPr>
          <w:rFonts w:asciiTheme="majorHAnsi" w:hAnsiTheme="majorHAnsi" w:cstheme="majorHAnsi"/>
          <w:color w:val="444444"/>
          <w:sz w:val="21"/>
          <w:szCs w:val="21"/>
        </w:rPr>
      </w:pPr>
      <w:r>
        <w:rPr>
          <w:rFonts w:asciiTheme="majorHAnsi" w:hAnsiTheme="majorHAnsi" w:cstheme="majorHAnsi"/>
          <w:color w:val="444444"/>
          <w:sz w:val="21"/>
          <w:szCs w:val="21"/>
        </w:rPr>
        <w:t xml:space="preserve">Promote appropriate and timely health-seeking behavior. </w:t>
      </w:r>
    </w:p>
    <w:p w14:paraId="0EB5BEFE" w14:textId="77777777" w:rsidR="00CA0E97" w:rsidRDefault="00CA0E97" w:rsidP="00CA0E97">
      <w:pPr>
        <w:pStyle w:val="NoSpacing"/>
        <w:numPr>
          <w:ilvl w:val="0"/>
          <w:numId w:val="6"/>
        </w:numPr>
        <w:jc w:val="both"/>
        <w:rPr>
          <w:rFonts w:asciiTheme="majorHAnsi" w:hAnsiTheme="majorHAnsi" w:cstheme="majorHAnsi"/>
          <w:color w:val="444444"/>
          <w:sz w:val="21"/>
          <w:szCs w:val="21"/>
        </w:rPr>
      </w:pPr>
      <w:r>
        <w:rPr>
          <w:rFonts w:asciiTheme="majorHAnsi" w:hAnsiTheme="majorHAnsi" w:cstheme="majorHAnsi"/>
          <w:color w:val="444444"/>
          <w:sz w:val="21"/>
          <w:szCs w:val="21"/>
        </w:rPr>
        <w:t xml:space="preserve">Improve community awareness of primary health care services. </w:t>
      </w:r>
    </w:p>
    <w:p w14:paraId="6D6CC626" w14:textId="77777777" w:rsidR="00CA0E97" w:rsidRDefault="00CA0E97" w:rsidP="00CA0E97">
      <w:pPr>
        <w:pStyle w:val="NoSpacing"/>
        <w:numPr>
          <w:ilvl w:val="0"/>
          <w:numId w:val="6"/>
        </w:numPr>
        <w:jc w:val="both"/>
        <w:rPr>
          <w:rFonts w:asciiTheme="majorHAnsi" w:hAnsiTheme="majorHAnsi" w:cstheme="majorHAnsi"/>
          <w:color w:val="444444"/>
          <w:sz w:val="21"/>
          <w:szCs w:val="21"/>
        </w:rPr>
      </w:pPr>
      <w:r>
        <w:rPr>
          <w:rFonts w:asciiTheme="majorHAnsi" w:hAnsiTheme="majorHAnsi" w:cstheme="majorHAnsi"/>
          <w:color w:val="444444"/>
          <w:sz w:val="21"/>
          <w:szCs w:val="21"/>
        </w:rPr>
        <w:t xml:space="preserve">Increase understanding of the principles and community relevance of Universal Health Care. </w:t>
      </w:r>
    </w:p>
    <w:p w14:paraId="00FAA2A2" w14:textId="77777777" w:rsidR="00CA0E97" w:rsidRDefault="00CA0E97" w:rsidP="00CA0E97">
      <w:pPr>
        <w:pStyle w:val="NoSpacing"/>
        <w:numPr>
          <w:ilvl w:val="0"/>
          <w:numId w:val="6"/>
        </w:numPr>
        <w:jc w:val="both"/>
        <w:rPr>
          <w:rFonts w:asciiTheme="majorHAnsi" w:hAnsiTheme="majorHAnsi" w:cstheme="majorHAnsi"/>
          <w:color w:val="444444"/>
          <w:sz w:val="21"/>
          <w:szCs w:val="21"/>
        </w:rPr>
      </w:pPr>
      <w:r>
        <w:rPr>
          <w:rFonts w:asciiTheme="majorHAnsi" w:hAnsiTheme="majorHAnsi" w:cstheme="majorHAnsi"/>
          <w:color w:val="444444"/>
          <w:sz w:val="21"/>
          <w:szCs w:val="21"/>
        </w:rPr>
        <w:t xml:space="preserve">Improve awareness of primary care providers, referral pathways, and health-service navigation. </w:t>
      </w:r>
    </w:p>
    <w:p w14:paraId="2A3DDA06" w14:textId="77777777" w:rsidR="00CA0E97" w:rsidRDefault="00CA0E97" w:rsidP="00CA0E97">
      <w:pPr>
        <w:pStyle w:val="NoSpacing"/>
        <w:numPr>
          <w:ilvl w:val="0"/>
          <w:numId w:val="6"/>
        </w:numPr>
        <w:jc w:val="both"/>
        <w:rPr>
          <w:rFonts w:asciiTheme="majorHAnsi" w:hAnsiTheme="majorHAnsi" w:cstheme="majorHAnsi"/>
          <w:color w:val="444444"/>
          <w:sz w:val="21"/>
          <w:szCs w:val="21"/>
        </w:rPr>
      </w:pPr>
      <w:r>
        <w:rPr>
          <w:rFonts w:asciiTheme="majorHAnsi" w:hAnsiTheme="majorHAnsi" w:cstheme="majorHAnsi"/>
          <w:color w:val="444444"/>
          <w:sz w:val="21"/>
          <w:szCs w:val="21"/>
        </w:rPr>
        <w:t xml:space="preserve">Strengthen family and community participation in health promotion. </w:t>
      </w:r>
    </w:p>
    <w:p w14:paraId="21E1E25D" w14:textId="77777777" w:rsidR="00CA0E97" w:rsidRDefault="00CA0E97" w:rsidP="00CA0E97">
      <w:pPr>
        <w:pStyle w:val="NoSpacing"/>
        <w:numPr>
          <w:ilvl w:val="0"/>
          <w:numId w:val="6"/>
        </w:numPr>
        <w:jc w:val="both"/>
        <w:rPr>
          <w:rFonts w:asciiTheme="majorHAnsi" w:hAnsiTheme="majorHAnsi" w:cstheme="majorHAnsi"/>
          <w:color w:val="444444"/>
          <w:sz w:val="21"/>
          <w:szCs w:val="21"/>
        </w:rPr>
      </w:pPr>
      <w:r>
        <w:rPr>
          <w:rFonts w:asciiTheme="majorHAnsi" w:hAnsiTheme="majorHAnsi" w:cstheme="majorHAnsi"/>
          <w:color w:val="444444"/>
          <w:sz w:val="21"/>
          <w:szCs w:val="21"/>
        </w:rPr>
        <w:t xml:space="preserve">Enhance the competencies of nursing students in community health education and extension practice. </w:t>
      </w:r>
    </w:p>
    <w:p w14:paraId="71B5C204" w14:textId="77777777" w:rsidR="00CA0E97" w:rsidRDefault="00CA0E97" w:rsidP="00CA0E97">
      <w:pPr>
        <w:pStyle w:val="NoSpacing"/>
        <w:numPr>
          <w:ilvl w:val="0"/>
          <w:numId w:val="6"/>
        </w:numPr>
        <w:jc w:val="both"/>
        <w:rPr>
          <w:rFonts w:asciiTheme="majorHAnsi" w:hAnsiTheme="majorHAnsi" w:cstheme="majorHAnsi"/>
          <w:color w:val="444444"/>
          <w:sz w:val="21"/>
          <w:szCs w:val="21"/>
        </w:rPr>
      </w:pPr>
      <w:r>
        <w:rPr>
          <w:rFonts w:asciiTheme="majorHAnsi" w:hAnsiTheme="majorHAnsi" w:cstheme="majorHAnsi"/>
          <w:color w:val="444444"/>
          <w:sz w:val="21"/>
          <w:szCs w:val="21"/>
        </w:rPr>
        <w:t xml:space="preserve">Strengthen the capacity of Barangay Health Workers in health education and health-service navigation. </w:t>
      </w:r>
    </w:p>
    <w:p w14:paraId="64E10CCC" w14:textId="77777777" w:rsidR="00CA0E97" w:rsidRDefault="00CA0E97" w:rsidP="00CA0E97">
      <w:pPr>
        <w:pStyle w:val="NoSpacing"/>
        <w:numPr>
          <w:ilvl w:val="0"/>
          <w:numId w:val="6"/>
        </w:numPr>
        <w:jc w:val="both"/>
        <w:rPr>
          <w:rFonts w:asciiTheme="majorHAnsi" w:hAnsiTheme="majorHAnsi" w:cstheme="majorHAnsi"/>
          <w:color w:val="444444"/>
          <w:sz w:val="21"/>
          <w:szCs w:val="21"/>
        </w:rPr>
      </w:pPr>
      <w:r>
        <w:rPr>
          <w:rFonts w:asciiTheme="majorHAnsi" w:hAnsiTheme="majorHAnsi" w:cstheme="majorHAnsi"/>
          <w:color w:val="444444"/>
          <w:sz w:val="21"/>
          <w:szCs w:val="21"/>
        </w:rPr>
        <w:t xml:space="preserve">Develop a sustainable </w:t>
      </w:r>
      <w:r>
        <w:rPr>
          <w:rFonts w:asciiTheme="majorHAnsi" w:hAnsiTheme="majorHAnsi" w:cstheme="majorHAnsi"/>
          <w:b/>
          <w:bCs/>
          <w:color w:val="444444"/>
          <w:sz w:val="21"/>
          <w:szCs w:val="21"/>
        </w:rPr>
        <w:t>KUSOG Health for All Community Nursing Program</w:t>
      </w:r>
      <w:r>
        <w:rPr>
          <w:rFonts w:asciiTheme="majorHAnsi" w:hAnsiTheme="majorHAnsi" w:cstheme="majorHAnsi"/>
          <w:color w:val="444444"/>
          <w:sz w:val="21"/>
          <w:szCs w:val="21"/>
        </w:rPr>
        <w:t>.</w:t>
      </w:r>
    </w:p>
    <w:p w14:paraId="28B4E193" w14:textId="77777777" w:rsidR="00CA0E97" w:rsidRDefault="00CA0E97" w:rsidP="00CA0E97">
      <w:pPr>
        <w:pStyle w:val="NoSpacing"/>
        <w:jc w:val="both"/>
        <w:rPr>
          <w:rFonts w:asciiTheme="majorHAnsi" w:hAnsiTheme="majorHAnsi" w:cstheme="majorHAnsi"/>
          <w:color w:val="444444"/>
          <w:sz w:val="21"/>
          <w:szCs w:val="21"/>
        </w:rPr>
      </w:pPr>
    </w:p>
    <w:p w14:paraId="3E3E9AB8" w14:textId="77777777" w:rsidR="00CA0E97" w:rsidRDefault="00CA0E97" w:rsidP="00CA0E97">
      <w:pPr>
        <w:pStyle w:val="NoSpacing"/>
        <w:jc w:val="both"/>
        <w:rPr>
          <w:rFonts w:asciiTheme="majorHAnsi" w:hAnsiTheme="majorHAnsi" w:cstheme="majorHAnsi"/>
          <w:color w:val="000000"/>
          <w:sz w:val="21"/>
          <w:szCs w:val="21"/>
        </w:rPr>
      </w:pPr>
    </w:p>
    <w:p w14:paraId="331E0949" w14:textId="33796416" w:rsidR="00CA0E97" w:rsidRPr="00CA0E97" w:rsidRDefault="00CA0E97" w:rsidP="00CA0E97">
      <w:pPr>
        <w:pStyle w:val="NoSpacing"/>
        <w:jc w:val="both"/>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C. Logical Framework.</w:t>
      </w:r>
    </w:p>
    <w:tbl>
      <w:tblPr>
        <w:tblW w:w="5000" w:type="pct"/>
        <w:tblLook w:val="04A0" w:firstRow="1" w:lastRow="0" w:firstColumn="1" w:lastColumn="0" w:noHBand="0" w:noVBand="1"/>
      </w:tblPr>
      <w:tblGrid>
        <w:gridCol w:w="1242"/>
        <w:gridCol w:w="3698"/>
        <w:gridCol w:w="2629"/>
        <w:gridCol w:w="2059"/>
      </w:tblGrid>
      <w:tr w:rsidR="00CA0E97" w14:paraId="68558F12" w14:textId="77777777" w:rsidTr="002D11E3">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2256FDFA"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Particular</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7E5A2C18"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Indicators</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645A9179"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Means of Verification</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018BB96F"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Assumptions</w:t>
            </w:r>
          </w:p>
        </w:tc>
      </w:tr>
      <w:tr w:rsidR="00CA0E97" w14:paraId="4232D58E"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55E84C6" w14:textId="77777777" w:rsidR="00CA0E97" w:rsidRDefault="00CA0E97" w:rsidP="002D11E3">
            <w:pPr>
              <w:pStyle w:val="NoSpacing"/>
              <w:rPr>
                <w:rFonts w:asciiTheme="majorHAnsi" w:eastAsia="Times New Roman" w:hAnsiTheme="majorHAnsi" w:cstheme="majorHAnsi"/>
                <w:color w:val="000000"/>
                <w:sz w:val="21"/>
                <w:szCs w:val="21"/>
              </w:rPr>
            </w:pPr>
            <w:r>
              <w:rPr>
                <w:rStyle w:val="Strong"/>
                <w:rFonts w:asciiTheme="majorHAnsi" w:eastAsia="Times New Roman" w:hAnsiTheme="majorHAnsi" w:cstheme="majorHAnsi"/>
                <w:color w:val="000000"/>
                <w:sz w:val="21"/>
                <w:szCs w:val="21"/>
              </w:rPr>
              <w:t>Goal:</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6188011"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Improved community health literacy, preventive practices, and awareness of appropriate health services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4F5C15F"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Baseline/endline, project report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308585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Community and partners remain engaged. </w:t>
            </w:r>
          </w:p>
        </w:tc>
      </w:tr>
      <w:tr w:rsidR="00CA0E97" w14:paraId="6191FAFC"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3378666" w14:textId="77777777" w:rsidR="00CA0E97" w:rsidRDefault="00CA0E97" w:rsidP="002D11E3">
            <w:pPr>
              <w:pStyle w:val="NoSpacing"/>
              <w:rPr>
                <w:rFonts w:asciiTheme="majorHAnsi" w:eastAsia="Times New Roman" w:hAnsiTheme="majorHAnsi" w:cstheme="majorHAnsi"/>
                <w:color w:val="000000"/>
                <w:sz w:val="21"/>
                <w:szCs w:val="21"/>
              </w:rPr>
            </w:pPr>
            <w:r>
              <w:rPr>
                <w:rStyle w:val="Strong"/>
                <w:rFonts w:asciiTheme="majorHAnsi" w:eastAsia="Times New Roman" w:hAnsiTheme="majorHAnsi" w:cstheme="majorHAnsi"/>
                <w:color w:val="000000"/>
                <w:sz w:val="21"/>
                <w:szCs w:val="21"/>
              </w:rPr>
              <w:t>Purpose: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42BBA6A"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Increase Knowledge of Health Promotion, prevention, UHC, Primary care and referral</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C9B59A9"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Pre-test/Post-test, Evaluation forms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ECB8A9F"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Participants attend and participate.</w:t>
            </w:r>
          </w:p>
        </w:tc>
      </w:tr>
      <w:tr w:rsidR="00CA0E97" w14:paraId="47054024"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8566DE3" w14:textId="77777777" w:rsidR="00CA0E97" w:rsidRDefault="00CA0E97" w:rsidP="002D11E3">
            <w:pPr>
              <w:pStyle w:val="NoSpacing"/>
              <w:rPr>
                <w:rFonts w:asciiTheme="majorHAnsi" w:eastAsia="Times New Roman" w:hAnsiTheme="majorHAnsi" w:cstheme="majorHAnsi"/>
                <w:color w:val="000000"/>
                <w:sz w:val="21"/>
                <w:szCs w:val="21"/>
              </w:rPr>
            </w:pPr>
            <w:r>
              <w:rPr>
                <w:rStyle w:val="Strong"/>
                <w:rFonts w:asciiTheme="majorHAnsi" w:eastAsia="Times New Roman" w:hAnsiTheme="majorHAnsi" w:cstheme="majorHAnsi"/>
                <w:color w:val="000000"/>
                <w:sz w:val="21"/>
                <w:szCs w:val="21"/>
              </w:rPr>
              <w:t>Outputs: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6C27D39"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Health Education Sessions conducted; IEC materials develop; Nursing Students/BHWs trained; referral information provided</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E4AD2CA"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Attendance sheets, Documentations, IEC materials, Activity Reports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7857C7B"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Resources and partners are available.</w:t>
            </w:r>
          </w:p>
        </w:tc>
      </w:tr>
      <w:tr w:rsidR="00CA0E97" w14:paraId="13CA8683"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F7A8D88" w14:textId="77777777" w:rsidR="00CA0E97" w:rsidRDefault="00CA0E97" w:rsidP="002D11E3">
            <w:pPr>
              <w:pStyle w:val="NoSpacing"/>
              <w:rPr>
                <w:rFonts w:asciiTheme="majorHAnsi" w:eastAsia="Times New Roman" w:hAnsiTheme="majorHAnsi" w:cstheme="majorHAnsi"/>
                <w:color w:val="000000"/>
                <w:sz w:val="21"/>
                <w:szCs w:val="21"/>
              </w:rPr>
            </w:pPr>
            <w:r>
              <w:rPr>
                <w:rStyle w:val="Strong"/>
                <w:rFonts w:asciiTheme="majorHAnsi" w:eastAsia="Times New Roman" w:hAnsiTheme="majorHAnsi" w:cstheme="majorHAnsi"/>
                <w:color w:val="000000"/>
                <w:sz w:val="21"/>
                <w:szCs w:val="21"/>
              </w:rPr>
              <w:t>Outcomes: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B9455D4"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Improved Understanding of preventive practices, Health-seeking behavior, UHC, and Health services navigation</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4AD5B1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Post Activity evaluation, follow-up assessment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98B65BB"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Participants apply acquired knowledge</w:t>
            </w:r>
          </w:p>
        </w:tc>
      </w:tr>
      <w:tr w:rsidR="00CA0E97" w14:paraId="600F9620"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B96FF51" w14:textId="77777777" w:rsidR="00CA0E97" w:rsidRDefault="00CA0E97" w:rsidP="002D11E3">
            <w:pPr>
              <w:pStyle w:val="NoSpacing"/>
              <w:rPr>
                <w:rFonts w:asciiTheme="majorHAnsi" w:eastAsia="Times New Roman" w:hAnsiTheme="majorHAnsi" w:cstheme="majorHAnsi"/>
                <w:color w:val="000000"/>
                <w:sz w:val="21"/>
                <w:szCs w:val="21"/>
              </w:rPr>
            </w:pPr>
            <w:r>
              <w:rPr>
                <w:rStyle w:val="Strong"/>
                <w:rFonts w:asciiTheme="majorHAnsi" w:eastAsia="Times New Roman" w:hAnsiTheme="majorHAnsi" w:cstheme="majorHAnsi"/>
                <w:color w:val="000000"/>
                <w:sz w:val="21"/>
                <w:szCs w:val="21"/>
              </w:rPr>
              <w:t>Activities: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ACDBB5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Needs Assessment, stakeholder consultation, training, health Education, UHC orientation, IEC distribution, referral education, evaluation.</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197D3B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Accomplishment report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8A0E8CB"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Activities are implemented according to schedule</w:t>
            </w:r>
          </w:p>
        </w:tc>
      </w:tr>
    </w:tbl>
    <w:p w14:paraId="50FF366C" w14:textId="77777777" w:rsidR="00CA0E97" w:rsidRDefault="00CA0E97" w:rsidP="00CA0E97">
      <w:pPr>
        <w:pStyle w:val="NoSpacing"/>
        <w:rPr>
          <w:rFonts w:asciiTheme="majorHAnsi" w:eastAsia="Times New Roman" w:hAnsiTheme="majorHAnsi" w:cstheme="majorHAnsi"/>
          <w:color w:val="000000"/>
          <w:sz w:val="21"/>
          <w:szCs w:val="21"/>
        </w:rPr>
      </w:pPr>
    </w:p>
    <w:p w14:paraId="69D79D2E" w14:textId="77777777" w:rsidR="00CA0E97" w:rsidRDefault="00CA0E97" w:rsidP="00CA0E97">
      <w:pPr>
        <w:pStyle w:val="NoSpacing"/>
        <w:rPr>
          <w:rFonts w:asciiTheme="majorHAnsi" w:eastAsia="Times New Roman" w:hAnsiTheme="majorHAnsi" w:cstheme="majorHAnsi"/>
          <w:color w:val="000000"/>
          <w:sz w:val="21"/>
          <w:szCs w:val="21"/>
        </w:rPr>
      </w:pPr>
    </w:p>
    <w:p w14:paraId="0FB5E6A6" w14:textId="77777777" w:rsidR="00CA0E97" w:rsidRDefault="00CA0E97" w:rsidP="00CA0E97">
      <w:pPr>
        <w:pStyle w:val="NoSpacing"/>
        <w:rPr>
          <w:rFonts w:asciiTheme="majorHAnsi" w:eastAsia="Times New Roman" w:hAnsiTheme="majorHAnsi" w:cstheme="majorHAnsi"/>
          <w:color w:val="000000"/>
          <w:sz w:val="21"/>
          <w:szCs w:val="21"/>
        </w:rPr>
      </w:pPr>
    </w:p>
    <w:p w14:paraId="505E2839" w14:textId="77777777" w:rsidR="00CA0E97" w:rsidRDefault="00CA0E97" w:rsidP="00CA0E97">
      <w:pPr>
        <w:pStyle w:val="NoSpacing"/>
        <w:rPr>
          <w:rFonts w:asciiTheme="majorHAnsi" w:eastAsia="Times New Roman" w:hAnsiTheme="majorHAnsi" w:cstheme="majorHAnsi"/>
          <w:color w:val="000000"/>
          <w:sz w:val="21"/>
          <w:szCs w:val="21"/>
        </w:rPr>
      </w:pPr>
    </w:p>
    <w:p w14:paraId="789AC9D8" w14:textId="77777777" w:rsidR="00CA0E97" w:rsidRDefault="00CA0E97" w:rsidP="00CA0E97">
      <w:pPr>
        <w:pStyle w:val="NoSpacing"/>
        <w:rPr>
          <w:rFonts w:asciiTheme="majorHAnsi" w:eastAsia="Times New Roman" w:hAnsiTheme="majorHAnsi" w:cstheme="majorHAnsi"/>
          <w:color w:val="000000"/>
          <w:sz w:val="21"/>
          <w:szCs w:val="21"/>
        </w:rPr>
      </w:pPr>
    </w:p>
    <w:p w14:paraId="24185F87" w14:textId="77777777" w:rsidR="00CA0E97" w:rsidRDefault="00CA0E97" w:rsidP="00CA0E97">
      <w:pPr>
        <w:pStyle w:val="NoSpacing"/>
        <w:rPr>
          <w:rFonts w:asciiTheme="majorHAnsi" w:eastAsia="Times New Roman" w:hAnsiTheme="majorHAnsi" w:cstheme="majorHAnsi"/>
          <w:color w:val="000000"/>
          <w:sz w:val="21"/>
          <w:szCs w:val="21"/>
        </w:rPr>
      </w:pPr>
    </w:p>
    <w:p w14:paraId="13BE7E4E" w14:textId="77777777" w:rsidR="00CA0E97" w:rsidRDefault="00CA0E97" w:rsidP="00CA0E97">
      <w:pPr>
        <w:pStyle w:val="NoSpacing"/>
        <w:rPr>
          <w:rFonts w:asciiTheme="majorHAnsi" w:eastAsia="Times New Roman" w:hAnsiTheme="majorHAnsi" w:cstheme="majorHAnsi"/>
          <w:color w:val="000000"/>
          <w:sz w:val="21"/>
          <w:szCs w:val="21"/>
        </w:rPr>
      </w:pPr>
    </w:p>
    <w:p w14:paraId="38847466" w14:textId="77777777" w:rsidR="00CA0E97" w:rsidRDefault="00CA0E97" w:rsidP="00CA0E97">
      <w:pPr>
        <w:pStyle w:val="NoSpacing"/>
        <w:rPr>
          <w:rFonts w:asciiTheme="majorHAnsi" w:eastAsia="Times New Roman" w:hAnsiTheme="majorHAnsi" w:cstheme="majorHAnsi"/>
          <w:color w:val="000000"/>
          <w:sz w:val="21"/>
          <w:szCs w:val="21"/>
        </w:rPr>
      </w:pPr>
    </w:p>
    <w:p w14:paraId="542E125C" w14:textId="77777777" w:rsidR="00CA0E97" w:rsidRDefault="00CA0E97" w:rsidP="00CA0E97">
      <w:pPr>
        <w:pStyle w:val="NoSpacing"/>
        <w:rPr>
          <w:rFonts w:asciiTheme="majorHAnsi" w:eastAsia="Times New Roman" w:hAnsiTheme="majorHAnsi" w:cstheme="majorHAnsi"/>
          <w:color w:val="000000"/>
          <w:sz w:val="21"/>
          <w:szCs w:val="21"/>
        </w:rPr>
      </w:pPr>
    </w:p>
    <w:p w14:paraId="4739FC35" w14:textId="77777777" w:rsidR="00CA0E97" w:rsidRDefault="00CA0E97" w:rsidP="00CA0E97">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lastRenderedPageBreak/>
        <w:t>D. Methodology.</w:t>
      </w:r>
    </w:p>
    <w:p w14:paraId="168D4D81" w14:textId="77777777" w:rsidR="00CA0E97" w:rsidRDefault="00CA0E97" w:rsidP="00CA0E97">
      <w:pPr>
        <w:pStyle w:val="NoSpacing"/>
        <w:rPr>
          <w:rFonts w:asciiTheme="majorHAnsi" w:hAnsiTheme="majorHAnsi" w:cstheme="majorHAnsi"/>
          <w:color w:val="444444"/>
          <w:sz w:val="21"/>
          <w:szCs w:val="21"/>
        </w:rPr>
      </w:pPr>
    </w:p>
    <w:tbl>
      <w:tblPr>
        <w:tblW w:w="5450" w:type="pct"/>
        <w:tblLayout w:type="fixed"/>
        <w:tblLook w:val="04A0" w:firstRow="1" w:lastRow="0" w:firstColumn="1" w:lastColumn="0" w:noHBand="0" w:noVBand="1"/>
      </w:tblPr>
      <w:tblGrid>
        <w:gridCol w:w="1855"/>
        <w:gridCol w:w="2684"/>
        <w:gridCol w:w="1873"/>
        <w:gridCol w:w="1250"/>
        <w:gridCol w:w="1418"/>
        <w:gridCol w:w="1415"/>
      </w:tblGrid>
      <w:tr w:rsidR="00CA0E97" w14:paraId="1BD8AE1C" w14:textId="77777777" w:rsidTr="00CA0E97">
        <w:tc>
          <w:tcPr>
            <w:tcW w:w="1855" w:type="dxa"/>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45E315F2" w14:textId="77777777" w:rsidR="00CA0E97" w:rsidRDefault="00CA0E97" w:rsidP="002D11E3">
            <w:pPr>
              <w:pStyle w:val="NoSpacing"/>
              <w:jc w:val="cente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Activity</w:t>
            </w:r>
          </w:p>
        </w:tc>
        <w:tc>
          <w:tcPr>
            <w:tcW w:w="2684" w:type="dxa"/>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3CDB4B7" w14:textId="77777777" w:rsidR="00CA0E97" w:rsidRDefault="00CA0E97" w:rsidP="002D11E3">
            <w:pPr>
              <w:pStyle w:val="NoSpacing"/>
              <w:jc w:val="cente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Description</w:t>
            </w:r>
          </w:p>
        </w:tc>
        <w:tc>
          <w:tcPr>
            <w:tcW w:w="1873" w:type="dxa"/>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759A951D" w14:textId="77777777" w:rsidR="00CA0E97" w:rsidRDefault="00CA0E97" w:rsidP="002D11E3">
            <w:pPr>
              <w:pStyle w:val="NoSpacing"/>
              <w:jc w:val="cente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Target Participants</w:t>
            </w:r>
          </w:p>
        </w:tc>
        <w:tc>
          <w:tcPr>
            <w:tcW w:w="1250" w:type="dxa"/>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4657620F" w14:textId="77777777" w:rsidR="00CA0E97" w:rsidRDefault="00CA0E97" w:rsidP="002D11E3">
            <w:pPr>
              <w:pStyle w:val="NoSpacing"/>
              <w:jc w:val="cente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Timeframe</w:t>
            </w:r>
          </w:p>
        </w:tc>
        <w:tc>
          <w:tcPr>
            <w:tcW w:w="1418" w:type="dxa"/>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2159C247" w14:textId="77777777" w:rsidR="00CA0E97" w:rsidRDefault="00CA0E97" w:rsidP="002D11E3">
            <w:pPr>
              <w:pStyle w:val="NoSpacing"/>
              <w:jc w:val="cente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Responsible</w:t>
            </w:r>
          </w:p>
        </w:tc>
        <w:tc>
          <w:tcPr>
            <w:tcW w:w="1415" w:type="dxa"/>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0B7ED5B1" w14:textId="77777777" w:rsidR="00CA0E97" w:rsidRDefault="00CA0E97" w:rsidP="002D11E3">
            <w:pPr>
              <w:pStyle w:val="NoSpacing"/>
              <w:jc w:val="cente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Expected Output</w:t>
            </w:r>
          </w:p>
        </w:tc>
      </w:tr>
      <w:tr w:rsidR="00CA0E97" w14:paraId="62C48EE4"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29C3499"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Community entry and coordination </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D9AB5EA"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Coordinate with LGU, Barangay Officials, BHWs and Health personnel</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3418DC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Barangay Officials, BHWs and Health partners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4E9C95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 1</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7DED118"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Project Leader/team</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A087D87"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Coordination Plan</w:t>
            </w:r>
          </w:p>
        </w:tc>
      </w:tr>
      <w:tr w:rsidR="00CA0E97" w14:paraId="48CD947D"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9AA9B6B"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Community health needs assessment</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1192281"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Identify health concerns, Health literacy gaps, services-access barriers and priority needs</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C4D5F0C"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Community members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F43FAF9"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 1-2</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DFFCAF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Research team </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91B5661"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Baseline Assessment</w:t>
            </w:r>
          </w:p>
        </w:tc>
      </w:tr>
      <w:tr w:rsidR="00CA0E97" w14:paraId="01ADF146"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1C663AB"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Stakeholder Consultation </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2EA4BF3"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Present findings and identify priority intervention</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1705EEC"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LGU, BHW, Community Representatives </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EF68609"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 2</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280F33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Project team</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800619F"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Community Intervention Plan</w:t>
            </w:r>
          </w:p>
        </w:tc>
      </w:tr>
      <w:tr w:rsidR="00CA0E97" w14:paraId="7FDA455F"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90DBC1C"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Nursing Student Orientation</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6EF6420F"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Train students on community engagement, health education, ethics, and documentation</w:t>
            </w:r>
          </w:p>
          <w:p w14:paraId="785119A5" w14:textId="77777777" w:rsidR="00CA0E97" w:rsidRDefault="00CA0E97" w:rsidP="002D11E3">
            <w:pPr>
              <w:pStyle w:val="NoSpacing"/>
              <w:rPr>
                <w:rFonts w:asciiTheme="majorHAnsi" w:eastAsia="Times New Roman" w:hAnsiTheme="majorHAnsi" w:cstheme="majorHAnsi"/>
                <w:color w:val="000000"/>
                <w:sz w:val="21"/>
                <w:szCs w:val="21"/>
              </w:rPr>
            </w:pP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A51C8B3"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Nursing Students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E8D5B5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 3</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FF4CF32"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Nursing Faculty</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DBDA7C6"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Trained student volunteers</w:t>
            </w:r>
          </w:p>
        </w:tc>
      </w:tr>
      <w:tr w:rsidR="00CA0E97" w14:paraId="0F8D24E7"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3A443AC"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BHW Capacity Building</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FC5088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Train students on community engagement, health education, ethics, and documentation</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4E61F27"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BHW’s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B4606D7"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 3</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881409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Nursing faculty/health Personnel</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198D76B"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Trained BHWs</w:t>
            </w:r>
          </w:p>
        </w:tc>
      </w:tr>
      <w:tr w:rsidR="00CA0E97" w14:paraId="72FBEE93"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4CD5D4D"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UHC and Primary Care Orientation</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5813355"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Explain UHC, Primary Care, available services, referral</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89B0DF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Adult, families, BHW’S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F7448A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 4-6</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B14DD4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Nursing students / Faculty</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A7AC59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UHC Orientation</w:t>
            </w:r>
          </w:p>
        </w:tc>
      </w:tr>
      <w:tr w:rsidR="00CA0E97" w14:paraId="21910043"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5FC75BD"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Healthy Child Program</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13DA2B7"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Nutrition, Hygiene, immunization awareness, Physical activity and injury prevention</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497EBCC"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Children and caregivers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33DB61F"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 4-9</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1808D68"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Nursing students / Faculty</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BBD8B2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Child Health sessions</w:t>
            </w:r>
          </w:p>
        </w:tc>
      </w:tr>
      <w:tr w:rsidR="00CA0E97" w14:paraId="704231DF"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2C3C5AF"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Healthy Adolescent Program</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B839F05"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Mental Wellbeing, Nutrition, physical activity, reproductive health, and risk seeking behavior</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378517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Adolescents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9DB1DF8"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Months 4- 9</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619B312"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Nursing Students/Faculty</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2F79CAC"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Adolescent health sessions</w:t>
            </w:r>
          </w:p>
        </w:tc>
      </w:tr>
      <w:tr w:rsidR="00CA0E97" w14:paraId="520B780A"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6802B7B"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Healthy Adult Program</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E10D4A3"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NCD prevention, healthy lifestyle, screening awareness, and health-seeking behavior</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6BA71F2"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Adults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9B206CB"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Months 4- 9</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DBB3DD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Nursing Students/Faculty</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3410FE4"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Older-adult health sessions</w:t>
            </w:r>
          </w:p>
        </w:tc>
      </w:tr>
      <w:tr w:rsidR="00CA0E97" w14:paraId="51E97440"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D090C26"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lastRenderedPageBreak/>
              <w:t>Healthy Aging Program</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F23D296"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Chronic disease management, medication safety, nutrition, mobility, and fall prevention</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C52BAF5"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Older adults/caregivers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CDB033A"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Months 4–9</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91780B7"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Nursing Faculty/Students</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5B1D29C"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Older-adult health sessions</w:t>
            </w:r>
          </w:p>
        </w:tc>
      </w:tr>
      <w:tr w:rsidR="00CA0E97" w14:paraId="00D1E098"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41DA354"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Family Health Sessions</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00F8C76"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Family-centered prevention, home safety, health monitoring, and healthcare navigation</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F8C2E28"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Families/caregivers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FD3A393"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Months 5–10</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5372D6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Project Team</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0D46FC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Family health sessions</w:t>
            </w:r>
          </w:p>
        </w:tc>
      </w:tr>
      <w:tr w:rsidR="00CA0E97" w14:paraId="6E73BA41"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EA1E7E3"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IEC Development and Distribution</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4499993"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Develop culturally and age-appropriate health materials</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69584E4"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All target groups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117F106"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Months 4–10</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E8656FC"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IEC Team</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2C3D94A"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KUSOG IEC materials</w:t>
            </w:r>
          </w:p>
        </w:tc>
      </w:tr>
      <w:tr w:rsidR="00CA0E97" w14:paraId="0CFB6642"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8BD4FAA"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Referral and Health Navigation</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1A616E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Orient participants on appropriate health facilities and referral pathways</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BCA911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Community members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52BDC2B"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Months 5–10</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EAA30CB"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Health Partners/BHWs</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21EA70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Referral/navigation guide</w:t>
            </w:r>
          </w:p>
        </w:tc>
      </w:tr>
      <w:tr w:rsidR="00CA0E97" w14:paraId="215162FC"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38E9EDC"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Monitoring and Evaluation</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1713032"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Assess participation, knowledge gain, satisfaction, and program implementation</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E52B292"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Participants/partners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5998506"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Months 10–11</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D9105EF"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Months 10–11</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F9D51A2"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Evaluation report</w:t>
            </w:r>
          </w:p>
        </w:tc>
      </w:tr>
      <w:tr w:rsidR="00CA0E97" w14:paraId="3F39CFA6" w14:textId="77777777" w:rsidTr="00CA0E97">
        <w:tc>
          <w:tcPr>
            <w:tcW w:w="185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A4F1AB0" w14:textId="77777777" w:rsidR="00CA0E97" w:rsidRDefault="00CA0E97" w:rsidP="002D11E3">
            <w:pPr>
              <w:pStyle w:val="NoSpacing"/>
              <w:numPr>
                <w:ilvl w:val="0"/>
                <w:numId w:val="7"/>
              </w:numPr>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Sustainability Planning</w:t>
            </w:r>
          </w:p>
        </w:tc>
        <w:tc>
          <w:tcPr>
            <w:tcW w:w="2684"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7BFB42B"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Establish continuation mechanisms with community and health partners</w:t>
            </w:r>
          </w:p>
        </w:tc>
        <w:tc>
          <w:tcPr>
            <w:tcW w:w="1873"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06FB47A"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Stakeholders</w:t>
            </w:r>
          </w:p>
        </w:tc>
        <w:tc>
          <w:tcPr>
            <w:tcW w:w="125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86BAAE1"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Month 12</w:t>
            </w:r>
          </w:p>
        </w:tc>
        <w:tc>
          <w:tcPr>
            <w:tcW w:w="1418"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5872546"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Project Leader/Team</w:t>
            </w:r>
          </w:p>
        </w:tc>
        <w:tc>
          <w:tcPr>
            <w:tcW w:w="1415"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CADB65C"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Sustainability plan</w:t>
            </w:r>
          </w:p>
        </w:tc>
      </w:tr>
    </w:tbl>
    <w:p w14:paraId="27DFE02F" w14:textId="77777777" w:rsidR="00CA0E97" w:rsidRDefault="00CA0E97" w:rsidP="00CA0E97">
      <w:pPr>
        <w:pStyle w:val="NoSpacing"/>
        <w:rPr>
          <w:rFonts w:asciiTheme="majorHAnsi" w:eastAsia="Times New Roman" w:hAnsiTheme="majorHAnsi" w:cstheme="majorHAnsi"/>
          <w:color w:val="000000"/>
          <w:sz w:val="21"/>
          <w:szCs w:val="21"/>
        </w:rPr>
      </w:pPr>
    </w:p>
    <w:p w14:paraId="52A82C7C" w14:textId="77777777" w:rsidR="00CA0E97" w:rsidRDefault="00CA0E97" w:rsidP="00CA0E97">
      <w:pPr>
        <w:pStyle w:val="NoSpacing"/>
        <w:rPr>
          <w:rFonts w:asciiTheme="majorHAnsi" w:eastAsia="Times New Roman" w:hAnsiTheme="majorHAnsi" w:cstheme="majorHAnsi"/>
          <w:color w:val="000000"/>
          <w:sz w:val="21"/>
          <w:szCs w:val="21"/>
        </w:rPr>
      </w:pPr>
    </w:p>
    <w:p w14:paraId="18BF80D8" w14:textId="77777777" w:rsidR="00CA0E97" w:rsidRDefault="00CA0E97" w:rsidP="00CA0E97">
      <w:pPr>
        <w:pStyle w:val="NoSpacing"/>
        <w:rPr>
          <w:rFonts w:asciiTheme="majorHAnsi" w:eastAsia="Times New Roman" w:hAnsiTheme="majorHAnsi" w:cstheme="majorHAnsi"/>
          <w:b/>
          <w:bCs/>
          <w:color w:val="000000"/>
          <w:sz w:val="21"/>
          <w:szCs w:val="21"/>
        </w:rPr>
      </w:pPr>
    </w:p>
    <w:p w14:paraId="05BE9240" w14:textId="77777777" w:rsidR="00CA0E97" w:rsidRDefault="00CA0E97" w:rsidP="00CA0E97">
      <w:pPr>
        <w:pStyle w:val="NoSpacing"/>
        <w:rPr>
          <w:rFonts w:asciiTheme="majorHAnsi" w:eastAsia="Times New Roman" w:hAnsiTheme="majorHAnsi" w:cstheme="majorHAnsi"/>
          <w:b/>
          <w:bCs/>
          <w:color w:val="000000"/>
          <w:sz w:val="21"/>
          <w:szCs w:val="21"/>
        </w:rPr>
      </w:pPr>
    </w:p>
    <w:p w14:paraId="7AFD4211" w14:textId="77777777" w:rsidR="00CA0E97" w:rsidRDefault="00CA0E97" w:rsidP="00CA0E97">
      <w:pPr>
        <w:pStyle w:val="NoSpacing"/>
        <w:rPr>
          <w:rFonts w:asciiTheme="majorHAnsi" w:eastAsia="Times New Roman" w:hAnsiTheme="majorHAnsi" w:cstheme="majorHAnsi"/>
          <w:b/>
          <w:bCs/>
          <w:color w:val="000000"/>
          <w:sz w:val="21"/>
          <w:szCs w:val="21"/>
        </w:rPr>
      </w:pPr>
    </w:p>
    <w:p w14:paraId="60DC7571" w14:textId="77777777" w:rsidR="00CA0E97" w:rsidRDefault="00CA0E97" w:rsidP="00CA0E97">
      <w:pPr>
        <w:pStyle w:val="NoSpacing"/>
        <w:rPr>
          <w:rFonts w:asciiTheme="majorHAnsi" w:eastAsia="Times New Roman" w:hAnsiTheme="majorHAnsi" w:cstheme="majorHAnsi"/>
          <w:b/>
          <w:bCs/>
          <w:color w:val="000000"/>
          <w:sz w:val="21"/>
          <w:szCs w:val="21"/>
        </w:rPr>
      </w:pPr>
    </w:p>
    <w:p w14:paraId="04926637" w14:textId="77777777" w:rsidR="00CA0E97" w:rsidRDefault="00CA0E97" w:rsidP="00CA0E97">
      <w:pPr>
        <w:pStyle w:val="NoSpacing"/>
        <w:rPr>
          <w:rFonts w:asciiTheme="majorHAnsi" w:eastAsia="Times New Roman" w:hAnsiTheme="majorHAnsi" w:cstheme="majorHAnsi"/>
          <w:b/>
          <w:bCs/>
          <w:color w:val="000000"/>
          <w:sz w:val="21"/>
          <w:szCs w:val="21"/>
        </w:rPr>
      </w:pPr>
    </w:p>
    <w:p w14:paraId="7F68109C" w14:textId="77777777" w:rsidR="00CA0E97" w:rsidRDefault="00CA0E97" w:rsidP="00CA0E97">
      <w:pPr>
        <w:pStyle w:val="NoSpacing"/>
        <w:rPr>
          <w:rFonts w:asciiTheme="majorHAnsi" w:eastAsia="Times New Roman" w:hAnsiTheme="majorHAnsi" w:cstheme="majorHAnsi"/>
          <w:b/>
          <w:bCs/>
          <w:color w:val="000000"/>
          <w:sz w:val="21"/>
          <w:szCs w:val="21"/>
        </w:rPr>
      </w:pPr>
    </w:p>
    <w:p w14:paraId="56523F8F" w14:textId="77777777" w:rsidR="00CA0E97" w:rsidRDefault="00CA0E97" w:rsidP="00CA0E97">
      <w:pPr>
        <w:pStyle w:val="NoSpacing"/>
        <w:rPr>
          <w:rFonts w:asciiTheme="majorHAnsi" w:eastAsia="Times New Roman" w:hAnsiTheme="majorHAnsi" w:cstheme="majorHAnsi"/>
          <w:b/>
          <w:bCs/>
          <w:color w:val="000000"/>
          <w:sz w:val="21"/>
          <w:szCs w:val="21"/>
        </w:rPr>
      </w:pPr>
    </w:p>
    <w:p w14:paraId="2C5D39C7" w14:textId="77777777" w:rsidR="00CA0E97" w:rsidRDefault="00CA0E97" w:rsidP="00CA0E97">
      <w:pPr>
        <w:pStyle w:val="NoSpacing"/>
        <w:rPr>
          <w:rFonts w:asciiTheme="majorHAnsi" w:eastAsia="Times New Roman" w:hAnsiTheme="majorHAnsi" w:cstheme="majorHAnsi"/>
          <w:b/>
          <w:bCs/>
          <w:color w:val="000000"/>
          <w:sz w:val="21"/>
          <w:szCs w:val="21"/>
        </w:rPr>
      </w:pPr>
    </w:p>
    <w:p w14:paraId="0F7E3F31" w14:textId="77777777" w:rsidR="00CA0E97" w:rsidRDefault="00CA0E97" w:rsidP="00CA0E97">
      <w:pPr>
        <w:pStyle w:val="NoSpacing"/>
        <w:rPr>
          <w:rFonts w:asciiTheme="majorHAnsi" w:eastAsia="Times New Roman" w:hAnsiTheme="majorHAnsi" w:cstheme="majorHAnsi"/>
          <w:b/>
          <w:bCs/>
          <w:color w:val="000000"/>
          <w:sz w:val="21"/>
          <w:szCs w:val="21"/>
        </w:rPr>
      </w:pPr>
    </w:p>
    <w:p w14:paraId="794B019B" w14:textId="77777777" w:rsidR="00CA0E97" w:rsidRDefault="00CA0E97" w:rsidP="00CA0E97">
      <w:pPr>
        <w:pStyle w:val="NoSpacing"/>
        <w:rPr>
          <w:rFonts w:asciiTheme="majorHAnsi" w:eastAsia="Times New Roman" w:hAnsiTheme="majorHAnsi" w:cstheme="majorHAnsi"/>
          <w:b/>
          <w:bCs/>
          <w:color w:val="000000"/>
          <w:sz w:val="21"/>
          <w:szCs w:val="21"/>
        </w:rPr>
      </w:pPr>
    </w:p>
    <w:p w14:paraId="4D898A19" w14:textId="77777777" w:rsidR="00CA0E97" w:rsidRDefault="00CA0E97" w:rsidP="00CA0E97">
      <w:pPr>
        <w:pStyle w:val="NoSpacing"/>
        <w:rPr>
          <w:rFonts w:asciiTheme="majorHAnsi" w:eastAsia="Times New Roman" w:hAnsiTheme="majorHAnsi" w:cstheme="majorHAnsi"/>
          <w:b/>
          <w:bCs/>
          <w:color w:val="000000"/>
          <w:sz w:val="21"/>
          <w:szCs w:val="21"/>
        </w:rPr>
      </w:pPr>
    </w:p>
    <w:p w14:paraId="3083C56A" w14:textId="77777777" w:rsidR="00CA0E97" w:rsidRDefault="00CA0E97" w:rsidP="00CA0E97">
      <w:pPr>
        <w:pStyle w:val="NoSpacing"/>
        <w:rPr>
          <w:rFonts w:asciiTheme="majorHAnsi" w:eastAsia="Times New Roman" w:hAnsiTheme="majorHAnsi" w:cstheme="majorHAnsi"/>
          <w:b/>
          <w:bCs/>
          <w:color w:val="000000"/>
          <w:sz w:val="21"/>
          <w:szCs w:val="21"/>
        </w:rPr>
      </w:pPr>
    </w:p>
    <w:p w14:paraId="4A392F4D" w14:textId="77777777" w:rsidR="00CA0E97" w:rsidRDefault="00CA0E97" w:rsidP="00CA0E97">
      <w:pPr>
        <w:pStyle w:val="NoSpacing"/>
        <w:rPr>
          <w:rFonts w:asciiTheme="majorHAnsi" w:eastAsia="Times New Roman" w:hAnsiTheme="majorHAnsi" w:cstheme="majorHAnsi"/>
          <w:b/>
          <w:bCs/>
          <w:color w:val="000000"/>
          <w:sz w:val="21"/>
          <w:szCs w:val="21"/>
        </w:rPr>
      </w:pPr>
    </w:p>
    <w:p w14:paraId="0ED874DE" w14:textId="77777777" w:rsidR="00CA0E97" w:rsidRDefault="00CA0E97" w:rsidP="00CA0E97">
      <w:pPr>
        <w:pStyle w:val="NoSpacing"/>
        <w:rPr>
          <w:rFonts w:asciiTheme="majorHAnsi" w:eastAsia="Times New Roman" w:hAnsiTheme="majorHAnsi" w:cstheme="majorHAnsi"/>
          <w:b/>
          <w:bCs/>
          <w:color w:val="000000"/>
          <w:sz w:val="21"/>
          <w:szCs w:val="21"/>
        </w:rPr>
      </w:pPr>
    </w:p>
    <w:p w14:paraId="21081E99" w14:textId="77777777" w:rsidR="00CA0E97" w:rsidRDefault="00CA0E97" w:rsidP="00CA0E97">
      <w:pPr>
        <w:pStyle w:val="NoSpacing"/>
        <w:rPr>
          <w:rFonts w:asciiTheme="majorHAnsi" w:eastAsia="Times New Roman" w:hAnsiTheme="majorHAnsi" w:cstheme="majorHAnsi"/>
          <w:b/>
          <w:bCs/>
          <w:color w:val="000000"/>
          <w:sz w:val="21"/>
          <w:szCs w:val="21"/>
        </w:rPr>
      </w:pPr>
    </w:p>
    <w:p w14:paraId="4F8AA507" w14:textId="77777777" w:rsidR="00CA0E97" w:rsidRDefault="00CA0E97" w:rsidP="00CA0E97">
      <w:pPr>
        <w:pStyle w:val="NoSpacing"/>
        <w:rPr>
          <w:rFonts w:asciiTheme="majorHAnsi" w:eastAsia="Times New Roman" w:hAnsiTheme="majorHAnsi" w:cstheme="majorHAnsi"/>
          <w:b/>
          <w:bCs/>
          <w:color w:val="000000"/>
          <w:sz w:val="21"/>
          <w:szCs w:val="21"/>
        </w:rPr>
      </w:pPr>
    </w:p>
    <w:p w14:paraId="14E9E865" w14:textId="77777777" w:rsidR="00CA0E97" w:rsidRDefault="00CA0E97" w:rsidP="00CA0E97">
      <w:pPr>
        <w:pStyle w:val="NoSpacing"/>
        <w:rPr>
          <w:rFonts w:asciiTheme="majorHAnsi" w:eastAsia="Times New Roman" w:hAnsiTheme="majorHAnsi" w:cstheme="majorHAnsi"/>
          <w:b/>
          <w:bCs/>
          <w:color w:val="000000"/>
          <w:sz w:val="21"/>
          <w:szCs w:val="21"/>
        </w:rPr>
      </w:pPr>
    </w:p>
    <w:p w14:paraId="6C851EEA" w14:textId="77777777" w:rsidR="00CA0E97" w:rsidRDefault="00CA0E97" w:rsidP="00CA0E97">
      <w:pPr>
        <w:pStyle w:val="NoSpacing"/>
        <w:rPr>
          <w:rFonts w:asciiTheme="majorHAnsi" w:eastAsia="Times New Roman" w:hAnsiTheme="majorHAnsi" w:cstheme="majorHAnsi"/>
          <w:b/>
          <w:bCs/>
          <w:color w:val="000000"/>
          <w:sz w:val="21"/>
          <w:szCs w:val="21"/>
        </w:rPr>
      </w:pPr>
    </w:p>
    <w:p w14:paraId="49FFE800" w14:textId="77777777" w:rsidR="00CA0E97" w:rsidRDefault="00CA0E97" w:rsidP="00CA0E97">
      <w:pPr>
        <w:pStyle w:val="NoSpacing"/>
        <w:rPr>
          <w:rFonts w:asciiTheme="majorHAnsi" w:eastAsia="Times New Roman" w:hAnsiTheme="majorHAnsi" w:cstheme="majorHAnsi"/>
          <w:b/>
          <w:bCs/>
          <w:color w:val="000000"/>
          <w:sz w:val="21"/>
          <w:szCs w:val="21"/>
        </w:rPr>
      </w:pPr>
    </w:p>
    <w:p w14:paraId="79741E8A" w14:textId="77777777" w:rsidR="00CA0E97" w:rsidRDefault="00CA0E97" w:rsidP="00CA0E97">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lastRenderedPageBreak/>
        <w:t>E. Line-Item Budget.</w:t>
      </w:r>
    </w:p>
    <w:p w14:paraId="76C48C77" w14:textId="77777777" w:rsidR="00CA0E97" w:rsidRDefault="00CA0E97" w:rsidP="00CA0E97">
      <w:pPr>
        <w:pStyle w:val="NoSpacing"/>
        <w:rPr>
          <w:rFonts w:asciiTheme="majorHAnsi" w:hAnsiTheme="majorHAnsi" w:cstheme="majorHAnsi"/>
          <w:color w:val="444444"/>
          <w:sz w:val="21"/>
          <w:szCs w:val="21"/>
        </w:rPr>
      </w:pPr>
    </w:p>
    <w:tbl>
      <w:tblPr>
        <w:tblW w:w="5000" w:type="pct"/>
        <w:tblLook w:val="04A0" w:firstRow="1" w:lastRow="0" w:firstColumn="1" w:lastColumn="0" w:noHBand="0" w:noVBand="1"/>
      </w:tblPr>
      <w:tblGrid>
        <w:gridCol w:w="2954"/>
        <w:gridCol w:w="3786"/>
        <w:gridCol w:w="1440"/>
        <w:gridCol w:w="1448"/>
      </w:tblGrid>
      <w:tr w:rsidR="00CA0E97" w14:paraId="239F6847" w14:textId="77777777" w:rsidTr="002D11E3">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6D4DA6A4"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Budget Item</w:t>
            </w:r>
          </w:p>
        </w:tc>
        <w:tc>
          <w:tcPr>
            <w:tcW w:w="1966"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56FED3B1"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Particular Item</w:t>
            </w:r>
          </w:p>
        </w:tc>
        <w:tc>
          <w:tcPr>
            <w:tcW w:w="748"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090C1FB8"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Estimated Cost</w:t>
            </w:r>
          </w:p>
        </w:tc>
        <w:tc>
          <w:tcPr>
            <w:tcW w:w="752"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1299755"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Total</w:t>
            </w:r>
          </w:p>
        </w:tc>
      </w:tr>
      <w:tr w:rsidR="00CA0E97" w14:paraId="50366E23"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57041D0" w14:textId="77777777" w:rsidR="00CA0E97" w:rsidRDefault="00CA0E97" w:rsidP="002D11E3">
            <w:pPr>
              <w:pStyle w:val="NoSpacing"/>
              <w:rPr>
                <w:rFonts w:asciiTheme="majorHAnsi" w:eastAsia="Times New Roman" w:hAnsiTheme="majorHAnsi" w:cstheme="majorHAnsi"/>
                <w:color w:val="000000"/>
                <w:sz w:val="21"/>
                <w:szCs w:val="21"/>
              </w:rPr>
            </w:pPr>
            <w:r>
              <w:rPr>
                <w:rStyle w:val="Strong"/>
                <w:rFonts w:asciiTheme="majorHAnsi" w:eastAsia="Times New Roman" w:hAnsiTheme="majorHAnsi" w:cstheme="majorHAnsi"/>
                <w:color w:val="000000"/>
                <w:sz w:val="21"/>
                <w:szCs w:val="21"/>
              </w:rPr>
              <w:t>1. Operating Cost</w:t>
            </w:r>
          </w:p>
        </w:tc>
        <w:tc>
          <w:tcPr>
            <w:tcW w:w="196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E99901F" w14:textId="77777777" w:rsidR="00CA0E97" w:rsidRDefault="00CA0E97" w:rsidP="002D11E3">
            <w:pPr>
              <w:rPr>
                <w:rFonts w:asciiTheme="majorHAnsi" w:eastAsia="Times New Roman" w:hAnsiTheme="majorHAnsi" w:cstheme="majorHAnsi"/>
                <w:color w:val="000000"/>
                <w:sz w:val="21"/>
                <w:szCs w:val="21"/>
              </w:rPr>
            </w:pPr>
          </w:p>
        </w:tc>
        <w:tc>
          <w:tcPr>
            <w:tcW w:w="74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43ABAA5" w14:textId="77777777" w:rsidR="00CA0E97" w:rsidRDefault="00CA0E97" w:rsidP="002D11E3">
            <w:pPr>
              <w:pStyle w:val="NoSpacing"/>
              <w:rPr>
                <w:rFonts w:asciiTheme="majorHAnsi" w:eastAsia="Times New Roman" w:hAnsiTheme="majorHAnsi" w:cstheme="majorHAnsi"/>
                <w:color w:val="000000"/>
                <w:sz w:val="21"/>
                <w:szCs w:val="21"/>
              </w:rPr>
            </w:pPr>
          </w:p>
        </w:tc>
        <w:tc>
          <w:tcPr>
            <w:tcW w:w="752"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C172D6C"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w:t>
            </w:r>
          </w:p>
        </w:tc>
      </w:tr>
      <w:tr w:rsidR="00CA0E97" w14:paraId="0005D697"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32C0FC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1.1 Supplies</w:t>
            </w:r>
          </w:p>
        </w:tc>
        <w:tc>
          <w:tcPr>
            <w:tcW w:w="196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C652D3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Bond paper, folders, pens, markers, teaching materials, activity supplies</w:t>
            </w:r>
          </w:p>
        </w:tc>
        <w:tc>
          <w:tcPr>
            <w:tcW w:w="74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0836E9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w:t>
            </w:r>
          </w:p>
          <w:p w14:paraId="3D37779E" w14:textId="77777777" w:rsidR="00CA0E97" w:rsidRDefault="00CA0E97" w:rsidP="002D11E3">
            <w:r>
              <w:rPr>
                <w:rFonts w:asciiTheme="majorHAnsi" w:eastAsia="Times New Roman" w:hAnsiTheme="majorHAnsi" w:cstheme="majorHAnsi"/>
                <w:color w:val="000000"/>
                <w:sz w:val="21"/>
                <w:szCs w:val="21"/>
              </w:rPr>
              <w:t> ₱5,000.00</w:t>
            </w:r>
          </w:p>
        </w:tc>
        <w:tc>
          <w:tcPr>
            <w:tcW w:w="752"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3F4C889"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 </w:t>
            </w:r>
          </w:p>
          <w:p w14:paraId="30BDE4F8"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 ₱5,000.00</w:t>
            </w:r>
          </w:p>
        </w:tc>
      </w:tr>
      <w:tr w:rsidR="00CA0E97" w14:paraId="3A7C32B9"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B05FFD2"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1.2 Communication</w:t>
            </w:r>
          </w:p>
        </w:tc>
        <w:tc>
          <w:tcPr>
            <w:tcW w:w="196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034187F"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Calls, internet/data, coordination</w:t>
            </w:r>
          </w:p>
        </w:tc>
        <w:tc>
          <w:tcPr>
            <w:tcW w:w="74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99C957B"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₱3,500.00</w:t>
            </w:r>
          </w:p>
        </w:tc>
        <w:tc>
          <w:tcPr>
            <w:tcW w:w="752"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71F6540"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 ₱3,500.00</w:t>
            </w:r>
          </w:p>
        </w:tc>
      </w:tr>
      <w:tr w:rsidR="00CA0E97" w14:paraId="76A06D99"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9B2C151"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1.3 Documentation</w:t>
            </w:r>
          </w:p>
        </w:tc>
        <w:tc>
          <w:tcPr>
            <w:tcW w:w="196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9AF1FA8"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Printing, documentation materials, photographs</w:t>
            </w:r>
          </w:p>
        </w:tc>
        <w:tc>
          <w:tcPr>
            <w:tcW w:w="74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E5E6B0F"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 ₱2,500.00 </w:t>
            </w:r>
          </w:p>
        </w:tc>
        <w:tc>
          <w:tcPr>
            <w:tcW w:w="752"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73E2865"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 xml:space="preserve"> ₱2,500.00 </w:t>
            </w:r>
          </w:p>
        </w:tc>
      </w:tr>
      <w:tr w:rsidR="00CA0E97" w14:paraId="237E8D8B"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3998EA8"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1.4 Others</w:t>
            </w:r>
          </w:p>
        </w:tc>
        <w:tc>
          <w:tcPr>
            <w:tcW w:w="196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502711D"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IEC materials, posters, brochures, visual aids, training materials</w:t>
            </w:r>
          </w:p>
        </w:tc>
        <w:tc>
          <w:tcPr>
            <w:tcW w:w="74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9BA3436"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₱15,000.00</w:t>
            </w:r>
          </w:p>
        </w:tc>
        <w:tc>
          <w:tcPr>
            <w:tcW w:w="752"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771CAD1"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 ₱15,000.00</w:t>
            </w:r>
          </w:p>
        </w:tc>
      </w:tr>
      <w:tr w:rsidR="00CA0E97" w14:paraId="6FA93A9B"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908CA43" w14:textId="77777777" w:rsidR="00CA0E97" w:rsidRDefault="00CA0E97" w:rsidP="002D11E3">
            <w:pPr>
              <w:pStyle w:val="NoSpacing"/>
              <w:rPr>
                <w:rFonts w:asciiTheme="majorHAnsi" w:eastAsia="Times New Roman" w:hAnsiTheme="majorHAnsi" w:cstheme="majorHAnsi"/>
                <w:color w:val="000000"/>
                <w:sz w:val="21"/>
                <w:szCs w:val="21"/>
              </w:rPr>
            </w:pPr>
            <w:r>
              <w:rPr>
                <w:rStyle w:val="Strong"/>
                <w:rFonts w:asciiTheme="majorHAnsi" w:eastAsia="Times New Roman" w:hAnsiTheme="majorHAnsi" w:cstheme="majorHAnsi"/>
                <w:color w:val="000000"/>
                <w:sz w:val="21"/>
                <w:szCs w:val="21"/>
              </w:rPr>
              <w:t>2. Travel Costs and Food Expenses</w:t>
            </w:r>
            <w:r>
              <w:rPr>
                <w:rFonts w:asciiTheme="majorHAnsi" w:eastAsia="Times New Roman" w:hAnsiTheme="majorHAnsi" w:cstheme="majorHAnsi"/>
                <w:color w:val="000000"/>
                <w:sz w:val="21"/>
                <w:szCs w:val="21"/>
              </w:rPr>
              <w:t xml:space="preserve"> </w:t>
            </w:r>
            <w:r>
              <w:rPr>
                <w:rStyle w:val="Emphasis"/>
                <w:rFonts w:asciiTheme="majorHAnsi" w:eastAsia="Times New Roman" w:hAnsiTheme="majorHAnsi" w:cstheme="majorHAnsi"/>
                <w:color w:val="000000"/>
                <w:sz w:val="21"/>
                <w:szCs w:val="21"/>
              </w:rPr>
              <w:t>(if any)</w:t>
            </w:r>
          </w:p>
        </w:tc>
        <w:tc>
          <w:tcPr>
            <w:tcW w:w="196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1445217"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w:t>
            </w:r>
          </w:p>
        </w:tc>
        <w:tc>
          <w:tcPr>
            <w:tcW w:w="74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50E2FD1"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w:t>
            </w:r>
          </w:p>
        </w:tc>
        <w:tc>
          <w:tcPr>
            <w:tcW w:w="752"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C4D61AE"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 </w:t>
            </w:r>
          </w:p>
        </w:tc>
      </w:tr>
      <w:tr w:rsidR="00CA0E97" w14:paraId="5D438191"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A3A49D0"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2.1 Fare</w:t>
            </w:r>
          </w:p>
        </w:tc>
        <w:tc>
          <w:tcPr>
            <w:tcW w:w="196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92E93F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Local transportation for community activities</w:t>
            </w:r>
          </w:p>
        </w:tc>
        <w:tc>
          <w:tcPr>
            <w:tcW w:w="74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AF05289"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₱10,000.00</w:t>
            </w:r>
          </w:p>
        </w:tc>
        <w:tc>
          <w:tcPr>
            <w:tcW w:w="752"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09B34C1"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 ₱10,000.00</w:t>
            </w:r>
          </w:p>
        </w:tc>
      </w:tr>
      <w:tr w:rsidR="00CA0E97" w14:paraId="6A6704A4"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1CE6D06"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2.2 Food Expense</w:t>
            </w:r>
          </w:p>
        </w:tc>
        <w:tc>
          <w:tcPr>
            <w:tcW w:w="196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73939D9"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Meals/snacks during major activities</w:t>
            </w:r>
          </w:p>
        </w:tc>
        <w:tc>
          <w:tcPr>
            <w:tcW w:w="74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96D1C4B"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 ₱25,000.00 </w:t>
            </w:r>
          </w:p>
        </w:tc>
        <w:tc>
          <w:tcPr>
            <w:tcW w:w="752"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9E3274A"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 xml:space="preserve"> ₱25,000.00 </w:t>
            </w:r>
          </w:p>
        </w:tc>
      </w:tr>
      <w:tr w:rsidR="00CA0E97" w14:paraId="4CE1FC17"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D2A01B7"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2.3 Others</w:t>
            </w:r>
          </w:p>
        </w:tc>
        <w:tc>
          <w:tcPr>
            <w:tcW w:w="196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F907FCE"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Activity logistics and community support</w:t>
            </w:r>
          </w:p>
        </w:tc>
        <w:tc>
          <w:tcPr>
            <w:tcW w:w="74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583CFC4"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₱3,000.00</w:t>
            </w:r>
          </w:p>
        </w:tc>
        <w:tc>
          <w:tcPr>
            <w:tcW w:w="752"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CC64215"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 ₱3,000.00</w:t>
            </w:r>
          </w:p>
        </w:tc>
      </w:tr>
      <w:tr w:rsidR="00CA0E97" w14:paraId="6B4F2ED2"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490DDBE" w14:textId="77777777" w:rsidR="00CA0E97" w:rsidRDefault="00CA0E97" w:rsidP="002D11E3">
            <w:pPr>
              <w:pStyle w:val="NoSpacing"/>
              <w:rPr>
                <w:rFonts w:asciiTheme="majorHAnsi" w:eastAsia="Times New Roman" w:hAnsiTheme="majorHAnsi" w:cstheme="majorHAnsi"/>
                <w:color w:val="000000"/>
                <w:sz w:val="21"/>
                <w:szCs w:val="21"/>
              </w:rPr>
            </w:pPr>
            <w:r>
              <w:rPr>
                <w:rStyle w:val="Strong"/>
                <w:rFonts w:asciiTheme="majorHAnsi" w:eastAsia="Times New Roman" w:hAnsiTheme="majorHAnsi" w:cstheme="majorHAnsi"/>
                <w:color w:val="000000"/>
                <w:sz w:val="21"/>
                <w:szCs w:val="21"/>
              </w:rPr>
              <w:t>3. Miscellaneous</w:t>
            </w:r>
          </w:p>
        </w:tc>
        <w:tc>
          <w:tcPr>
            <w:tcW w:w="196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4977E45"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Certificates, monitoring materials, contingency</w:t>
            </w:r>
          </w:p>
        </w:tc>
        <w:tc>
          <w:tcPr>
            <w:tcW w:w="74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2D3D20B" w14:textId="77777777" w:rsidR="00CA0E97" w:rsidRDefault="00CA0E97" w:rsidP="002D11E3">
            <w:pPr>
              <w:pStyle w:val="NoSpacing"/>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₱7,000.00</w:t>
            </w:r>
          </w:p>
        </w:tc>
        <w:tc>
          <w:tcPr>
            <w:tcW w:w="752"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32DB394"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 ₱7,000.00</w:t>
            </w:r>
          </w:p>
        </w:tc>
      </w:tr>
      <w:tr w:rsidR="00CA0E97" w14:paraId="2864B046" w14:textId="77777777" w:rsidTr="002D11E3">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7C42A5F" w14:textId="77777777" w:rsidR="00CA0E97" w:rsidRDefault="00CA0E97" w:rsidP="002D11E3">
            <w:pPr>
              <w:pStyle w:val="NoSpacing"/>
              <w:rPr>
                <w:rFonts w:asciiTheme="majorHAnsi" w:eastAsia="Times New Roman" w:hAnsiTheme="majorHAnsi" w:cstheme="majorHAnsi"/>
                <w:color w:val="000000"/>
                <w:sz w:val="21"/>
                <w:szCs w:val="21"/>
              </w:rPr>
            </w:pPr>
            <w:r>
              <w:rPr>
                <w:rStyle w:val="Strong"/>
                <w:rFonts w:asciiTheme="majorHAnsi" w:eastAsia="Times New Roman" w:hAnsiTheme="majorHAnsi" w:cstheme="majorHAnsi"/>
                <w:color w:val="000000"/>
                <w:sz w:val="21"/>
                <w:szCs w:val="21"/>
              </w:rPr>
              <w:t>Total Budget</w:t>
            </w:r>
          </w:p>
        </w:tc>
        <w:tc>
          <w:tcPr>
            <w:tcW w:w="196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B9A5090"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 </w:t>
            </w:r>
          </w:p>
        </w:tc>
        <w:tc>
          <w:tcPr>
            <w:tcW w:w="74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A1153D2"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₱71,000.00</w:t>
            </w:r>
          </w:p>
        </w:tc>
        <w:tc>
          <w:tcPr>
            <w:tcW w:w="752"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5C958E8" w14:textId="77777777" w:rsidR="00CA0E97" w:rsidRDefault="00CA0E97" w:rsidP="002D11E3">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₱71,000.00</w:t>
            </w:r>
          </w:p>
        </w:tc>
      </w:tr>
    </w:tbl>
    <w:p w14:paraId="39CB27CD" w14:textId="77777777" w:rsidR="00CA0E97" w:rsidRDefault="00CA0E97" w:rsidP="00CA0E97">
      <w:pPr>
        <w:pStyle w:val="NoSpacing"/>
        <w:rPr>
          <w:rFonts w:asciiTheme="majorHAnsi" w:eastAsia="Times New Roman" w:hAnsiTheme="majorHAnsi" w:cstheme="majorHAnsi"/>
          <w:color w:val="000000"/>
          <w:sz w:val="21"/>
          <w:szCs w:val="21"/>
        </w:rPr>
      </w:pPr>
    </w:p>
    <w:p w14:paraId="41C2AA0E" w14:textId="77777777" w:rsidR="00CA0E97" w:rsidRDefault="00CA0E97" w:rsidP="00CA0E97">
      <w:pPr>
        <w:pStyle w:val="NoSpacing"/>
        <w:rPr>
          <w:rFonts w:asciiTheme="majorHAnsi" w:eastAsia="Times New Roman" w:hAnsiTheme="majorHAnsi" w:cstheme="majorHAnsi"/>
          <w:color w:val="000000"/>
          <w:sz w:val="21"/>
          <w:szCs w:val="21"/>
        </w:rPr>
      </w:pPr>
    </w:p>
    <w:p w14:paraId="6402B8F8" w14:textId="77777777" w:rsidR="00CA0E97" w:rsidRDefault="00CA0E97" w:rsidP="00CA0E97">
      <w:pPr>
        <w:pStyle w:val="NoSpacing"/>
        <w:rPr>
          <w:rFonts w:asciiTheme="majorHAnsi" w:eastAsia="Times New Roman" w:hAnsiTheme="majorHAnsi" w:cstheme="majorHAnsi"/>
          <w:color w:val="000000"/>
          <w:sz w:val="21"/>
          <w:szCs w:val="21"/>
        </w:rPr>
      </w:pPr>
    </w:p>
    <w:p w14:paraId="577EF2C9" w14:textId="77777777" w:rsidR="00CA0E97" w:rsidRDefault="00CA0E97" w:rsidP="00CA0E97">
      <w:pPr>
        <w:pStyle w:val="NoSpacing"/>
        <w:rPr>
          <w:rFonts w:asciiTheme="majorHAnsi" w:eastAsia="Times New Roman" w:hAnsiTheme="majorHAnsi" w:cstheme="majorHAnsi"/>
          <w:color w:val="000000"/>
          <w:sz w:val="21"/>
          <w:szCs w:val="21"/>
        </w:rPr>
      </w:pPr>
    </w:p>
    <w:p w14:paraId="3C34EA0D" w14:textId="77777777" w:rsidR="00CA0E97" w:rsidRDefault="00CA0E97" w:rsidP="00CA0E97">
      <w:pPr>
        <w:pStyle w:val="NoSpacing"/>
        <w:rPr>
          <w:rFonts w:asciiTheme="majorHAnsi" w:eastAsia="Times New Roman" w:hAnsiTheme="majorHAnsi" w:cstheme="majorHAnsi"/>
          <w:color w:val="000000"/>
          <w:sz w:val="21"/>
          <w:szCs w:val="21"/>
        </w:rPr>
      </w:pPr>
    </w:p>
    <w:p w14:paraId="5503D72D" w14:textId="77777777" w:rsidR="00CA0E97" w:rsidRDefault="00CA0E97" w:rsidP="00CA0E97">
      <w:pPr>
        <w:pStyle w:val="NoSpacing"/>
        <w:rPr>
          <w:rFonts w:asciiTheme="majorHAnsi" w:eastAsia="Times New Roman" w:hAnsiTheme="majorHAnsi" w:cstheme="majorHAnsi"/>
          <w:color w:val="000000"/>
          <w:sz w:val="21"/>
          <w:szCs w:val="21"/>
        </w:rPr>
      </w:pPr>
    </w:p>
    <w:p w14:paraId="0F62CD1D" w14:textId="77777777" w:rsidR="00CA0E97" w:rsidRDefault="00CA0E97" w:rsidP="00CA0E97">
      <w:pPr>
        <w:pStyle w:val="NoSpacing"/>
        <w:rPr>
          <w:rFonts w:asciiTheme="majorHAnsi" w:eastAsia="Times New Roman" w:hAnsiTheme="majorHAnsi" w:cstheme="majorHAnsi"/>
          <w:color w:val="000000"/>
          <w:sz w:val="21"/>
          <w:szCs w:val="21"/>
        </w:rPr>
      </w:pPr>
    </w:p>
    <w:p w14:paraId="5C639D5C" w14:textId="77777777" w:rsidR="00CA0E97" w:rsidRDefault="00CA0E97" w:rsidP="00CA0E97">
      <w:pPr>
        <w:pStyle w:val="NoSpacing"/>
        <w:rPr>
          <w:rFonts w:asciiTheme="majorHAnsi" w:eastAsia="Times New Roman" w:hAnsiTheme="majorHAnsi" w:cstheme="majorHAnsi"/>
          <w:color w:val="000000"/>
          <w:sz w:val="21"/>
          <w:szCs w:val="21"/>
        </w:rPr>
      </w:pPr>
    </w:p>
    <w:p w14:paraId="7498CBBA" w14:textId="77777777" w:rsidR="00CA0E97" w:rsidRDefault="00CA0E97" w:rsidP="00CA0E97">
      <w:pPr>
        <w:pStyle w:val="NoSpacing"/>
        <w:rPr>
          <w:rFonts w:asciiTheme="majorHAnsi" w:eastAsia="Times New Roman" w:hAnsiTheme="majorHAnsi" w:cstheme="majorHAnsi"/>
          <w:color w:val="000000"/>
          <w:sz w:val="21"/>
          <w:szCs w:val="21"/>
        </w:rPr>
      </w:pPr>
    </w:p>
    <w:p w14:paraId="24CCA1B2" w14:textId="77777777" w:rsidR="00CA0E97" w:rsidRDefault="00CA0E97" w:rsidP="00CA0E97">
      <w:pPr>
        <w:pStyle w:val="NoSpacing"/>
        <w:rPr>
          <w:rFonts w:asciiTheme="majorHAnsi" w:eastAsia="Times New Roman" w:hAnsiTheme="majorHAnsi" w:cstheme="majorHAnsi"/>
          <w:color w:val="000000"/>
          <w:sz w:val="21"/>
          <w:szCs w:val="21"/>
        </w:rPr>
      </w:pPr>
    </w:p>
    <w:p w14:paraId="5963FEB5" w14:textId="77777777" w:rsidR="00CA0E97" w:rsidRDefault="00CA0E97" w:rsidP="00CA0E97">
      <w:pPr>
        <w:pStyle w:val="NoSpacing"/>
        <w:rPr>
          <w:rFonts w:asciiTheme="majorHAnsi" w:eastAsia="Times New Roman" w:hAnsiTheme="majorHAnsi" w:cstheme="majorHAnsi"/>
          <w:color w:val="000000"/>
          <w:sz w:val="21"/>
          <w:szCs w:val="21"/>
        </w:rPr>
      </w:pPr>
    </w:p>
    <w:p w14:paraId="6C2F45CF" w14:textId="77777777" w:rsidR="00CA0E97" w:rsidRDefault="00CA0E97" w:rsidP="00CA0E97">
      <w:pPr>
        <w:pStyle w:val="NoSpacing"/>
        <w:rPr>
          <w:rFonts w:asciiTheme="majorHAnsi" w:eastAsia="Times New Roman" w:hAnsiTheme="majorHAnsi" w:cstheme="majorHAnsi"/>
          <w:color w:val="000000"/>
          <w:sz w:val="21"/>
          <w:szCs w:val="21"/>
        </w:rPr>
      </w:pPr>
    </w:p>
    <w:p w14:paraId="6C961127" w14:textId="77777777" w:rsidR="00CA0E97" w:rsidRDefault="00CA0E97" w:rsidP="00CA0E97">
      <w:pPr>
        <w:pStyle w:val="NoSpacing"/>
        <w:rPr>
          <w:rFonts w:asciiTheme="majorHAnsi" w:eastAsia="Times New Roman" w:hAnsiTheme="majorHAnsi" w:cstheme="majorHAnsi"/>
          <w:color w:val="000000"/>
          <w:sz w:val="21"/>
          <w:szCs w:val="21"/>
        </w:rPr>
      </w:pPr>
    </w:p>
    <w:p w14:paraId="541D0837" w14:textId="77777777" w:rsidR="00CA0E97" w:rsidRDefault="00CA0E97" w:rsidP="00CA0E97">
      <w:pPr>
        <w:pStyle w:val="NoSpacing"/>
        <w:rPr>
          <w:rFonts w:asciiTheme="majorHAnsi" w:eastAsia="Times New Roman" w:hAnsiTheme="majorHAnsi" w:cstheme="majorHAnsi"/>
          <w:color w:val="000000"/>
          <w:sz w:val="21"/>
          <w:szCs w:val="21"/>
        </w:rPr>
      </w:pPr>
    </w:p>
    <w:p w14:paraId="78D11A57" w14:textId="77777777" w:rsidR="00CA0E97" w:rsidRDefault="00CA0E97" w:rsidP="00CA0E97">
      <w:pPr>
        <w:pStyle w:val="NoSpacing"/>
        <w:rPr>
          <w:rFonts w:asciiTheme="majorHAnsi" w:eastAsia="Times New Roman" w:hAnsiTheme="majorHAnsi" w:cstheme="majorHAnsi"/>
          <w:color w:val="000000"/>
          <w:sz w:val="21"/>
          <w:szCs w:val="21"/>
        </w:rPr>
      </w:pPr>
    </w:p>
    <w:p w14:paraId="08EC7F2F" w14:textId="77777777" w:rsidR="00CA0E97" w:rsidRDefault="00CA0E97" w:rsidP="00CA0E97">
      <w:pPr>
        <w:pStyle w:val="NoSpacing"/>
        <w:rPr>
          <w:rFonts w:asciiTheme="majorHAnsi" w:eastAsia="Times New Roman" w:hAnsiTheme="majorHAnsi" w:cstheme="majorHAnsi"/>
          <w:color w:val="000000"/>
          <w:sz w:val="21"/>
          <w:szCs w:val="21"/>
        </w:rPr>
      </w:pPr>
    </w:p>
    <w:p w14:paraId="73D7E00C" w14:textId="77777777" w:rsidR="00CA0E97" w:rsidRDefault="00CA0E97" w:rsidP="00CA0E97">
      <w:pPr>
        <w:pStyle w:val="NoSpacing"/>
        <w:jc w:val="cente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lastRenderedPageBreak/>
        <w:t>PART III</w:t>
      </w:r>
      <w:r>
        <w:rPr>
          <w:rFonts w:asciiTheme="majorHAnsi" w:eastAsia="Times New Roman" w:hAnsiTheme="majorHAnsi" w:cstheme="majorHAnsi"/>
          <w:b/>
          <w:bCs/>
          <w:color w:val="000000"/>
          <w:sz w:val="21"/>
          <w:szCs w:val="21"/>
        </w:rPr>
        <w:br/>
        <w:t>DOCUMENTARY ATTACHMENTS</w:t>
      </w:r>
    </w:p>
    <w:p w14:paraId="3BBB327B" w14:textId="77777777" w:rsidR="00CA0E97" w:rsidRDefault="00CA0E97" w:rsidP="00CA0E97">
      <w:pPr>
        <w:pStyle w:val="NoSpacing"/>
        <w:rPr>
          <w:rFonts w:asciiTheme="majorHAnsi" w:eastAsia="Times New Roman" w:hAnsiTheme="majorHAnsi" w:cstheme="majorHAnsi"/>
          <w:b/>
          <w:bCs/>
          <w:color w:val="000000"/>
          <w:sz w:val="21"/>
          <w:szCs w:val="21"/>
        </w:rPr>
      </w:pPr>
    </w:p>
    <w:p w14:paraId="178C77EC" w14:textId="77777777" w:rsidR="00CA0E97" w:rsidRDefault="00CA0E97" w:rsidP="00CA0E97">
      <w:pPr>
        <w:pStyle w:val="NoSpacing"/>
        <w:rPr>
          <w:rFonts w:asciiTheme="majorHAnsi" w:eastAsia="Times New Roman" w:hAnsiTheme="majorHAnsi" w:cstheme="majorHAnsi"/>
          <w:b/>
          <w:bCs/>
          <w:color w:val="000000"/>
          <w:sz w:val="21"/>
          <w:szCs w:val="21"/>
        </w:rPr>
      </w:pPr>
    </w:p>
    <w:p w14:paraId="02E1470B" w14:textId="77777777" w:rsidR="00CA0E97" w:rsidRDefault="00CA0E97" w:rsidP="00CA0E97">
      <w:pPr>
        <w:pStyle w:val="NoSpacing"/>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Explanation Regarding Documentary Attachments</w:t>
      </w:r>
    </w:p>
    <w:p w14:paraId="176F2E37" w14:textId="77777777" w:rsidR="00CA0E97" w:rsidRDefault="00CA0E97" w:rsidP="00CA0E97">
      <w:pPr>
        <w:pStyle w:val="NoSpacing"/>
        <w:ind w:firstLine="720"/>
        <w:rPr>
          <w:rFonts w:asciiTheme="majorHAnsi" w:eastAsia="Times New Roman" w:hAnsiTheme="majorHAnsi" w:cstheme="majorHAnsi"/>
          <w:color w:val="000000"/>
          <w:sz w:val="21"/>
          <w:szCs w:val="21"/>
        </w:rPr>
      </w:pPr>
    </w:p>
    <w:p w14:paraId="1F4CB6D2" w14:textId="77777777" w:rsidR="00CA0E97" w:rsidRDefault="00CA0E97" w:rsidP="00CA0E97">
      <w:pPr>
        <w:pStyle w:val="NoSpacing"/>
        <w:ind w:firstLine="720"/>
        <w:jc w:val="both"/>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The documentary attachments listed under Part III are intended to support the implementation, validation, and documentation of the proposed KUSOG: Knowledge, Understanding, Services, and Opportunities for Good Health extension project. However, since this document is being submitted as a project proposal, the required implementation-related documentary attachments are not yet available in their final form.</w:t>
      </w:r>
    </w:p>
    <w:p w14:paraId="5D0E61AA" w14:textId="77777777" w:rsidR="00CA0E97" w:rsidRDefault="00CA0E97" w:rsidP="00CA0E97">
      <w:pPr>
        <w:pStyle w:val="NoSpacing"/>
        <w:jc w:val="both"/>
        <w:rPr>
          <w:rFonts w:asciiTheme="majorHAnsi" w:eastAsia="Times New Roman" w:hAnsiTheme="majorHAnsi" w:cstheme="majorHAnsi"/>
          <w:color w:val="000000"/>
          <w:sz w:val="21"/>
          <w:szCs w:val="21"/>
        </w:rPr>
      </w:pPr>
    </w:p>
    <w:p w14:paraId="0BC5ACA0" w14:textId="77777777" w:rsidR="00CA0E97" w:rsidRDefault="00CA0E97" w:rsidP="001C30BC">
      <w:pPr>
        <w:pStyle w:val="NoSpacing"/>
        <w:jc w:val="both"/>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The proponents respectfully clarify that the project is currently at the proposal stage. Upon approval of the extension project, the project team will proceed with the preparation, coordination, processing, and completion of the necessary documentary requirements in accordance with the policies and procedures of J.H. </w:t>
      </w:r>
      <w:proofErr w:type="spellStart"/>
      <w:r>
        <w:rPr>
          <w:rFonts w:asciiTheme="majorHAnsi" w:eastAsia="Times New Roman" w:hAnsiTheme="majorHAnsi" w:cstheme="majorHAnsi"/>
          <w:color w:val="000000"/>
          <w:sz w:val="21"/>
          <w:szCs w:val="21"/>
        </w:rPr>
        <w:t>Cerilles</w:t>
      </w:r>
      <w:proofErr w:type="spellEnd"/>
      <w:r>
        <w:rPr>
          <w:rFonts w:asciiTheme="majorHAnsi" w:eastAsia="Times New Roman" w:hAnsiTheme="majorHAnsi" w:cstheme="majorHAnsi"/>
          <w:color w:val="000000"/>
          <w:sz w:val="21"/>
          <w:szCs w:val="21"/>
        </w:rPr>
        <w:t xml:space="preserve"> State College and the requirements of the concerned partner institutions and communities.</w:t>
      </w:r>
    </w:p>
    <w:p w14:paraId="397C1EE3" w14:textId="77777777" w:rsidR="00CA0E97" w:rsidRDefault="00CA0E97" w:rsidP="00CA0E97">
      <w:pPr>
        <w:pStyle w:val="NoSpacing"/>
        <w:jc w:val="both"/>
        <w:rPr>
          <w:rFonts w:asciiTheme="majorHAnsi" w:eastAsia="Times New Roman" w:hAnsiTheme="majorHAnsi" w:cstheme="majorHAnsi"/>
          <w:color w:val="000000"/>
          <w:sz w:val="21"/>
          <w:szCs w:val="21"/>
        </w:rPr>
      </w:pPr>
    </w:p>
    <w:p w14:paraId="69B9BD1C" w14:textId="77777777" w:rsidR="00CA0E97" w:rsidRDefault="00CA0E97" w:rsidP="001C30BC">
      <w:pPr>
        <w:pStyle w:val="NoSpacing"/>
        <w:jc w:val="both"/>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These documentary requirements shall include the action research output used as the basis of the extension program, comprehensive community health needs assessment and related instruments such as survey questionnaires, informed consent forms and other appropriate consent documents, the location map of the identified project site, and the Memorandum of Understanding (MOU) or Memorandum of Agreement (MOA) with partner agencies, barangays, local government units, health facilities, and other stakeholders, when applicable. Other relevant documents, such as attendance sheets, communication and coordination letters, activity plans, IEC materials, documentation, monitoring and evaluation instruments, and other supporting records, shall likewise be prepared and compiled as the project progresses.</w:t>
      </w:r>
    </w:p>
    <w:p w14:paraId="1598C26D" w14:textId="77777777" w:rsidR="00CA0E97" w:rsidRDefault="00CA0E97" w:rsidP="00CA0E97">
      <w:pPr>
        <w:pStyle w:val="NoSpacing"/>
        <w:ind w:firstLine="720"/>
        <w:jc w:val="both"/>
        <w:rPr>
          <w:rFonts w:asciiTheme="majorHAnsi" w:eastAsia="Times New Roman" w:hAnsiTheme="majorHAnsi" w:cstheme="majorHAnsi"/>
          <w:color w:val="000000"/>
          <w:sz w:val="21"/>
          <w:szCs w:val="21"/>
        </w:rPr>
      </w:pPr>
    </w:p>
    <w:p w14:paraId="20678E9D" w14:textId="77777777" w:rsidR="00CA0E97" w:rsidRDefault="00CA0E97" w:rsidP="001C30BC">
      <w:pPr>
        <w:pStyle w:val="NoSpacing"/>
        <w:jc w:val="both"/>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The proponents recognize that these documents are essential to ensure the ethical, legal, administrative, and operational readiness of the project. For this reason, no implementation-specific documents will be represented as completed prior to project approval. Instead, the documentary requirements will be processed and secured during the preparatory and implementation phases following approval.</w:t>
      </w:r>
    </w:p>
    <w:p w14:paraId="3FD6EDA9" w14:textId="77777777" w:rsidR="00CA0E97" w:rsidRDefault="00CA0E97" w:rsidP="00CA0E97">
      <w:pPr>
        <w:pStyle w:val="NoSpacing"/>
        <w:jc w:val="both"/>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 xml:space="preserve"> </w:t>
      </w:r>
    </w:p>
    <w:p w14:paraId="336830F4" w14:textId="77777777" w:rsidR="00CA0E97" w:rsidRDefault="00CA0E97" w:rsidP="001C30BC">
      <w:pPr>
        <w:pStyle w:val="NoSpacing"/>
        <w:jc w:val="both"/>
        <w:rPr>
          <w:rFonts w:asciiTheme="majorHAnsi" w:eastAsia="Times New Roman" w:hAnsiTheme="majorHAnsi" w:cstheme="majorHAnsi"/>
          <w:color w:val="000000"/>
          <w:sz w:val="21"/>
          <w:szCs w:val="21"/>
        </w:rPr>
      </w:pPr>
      <w:r>
        <w:rPr>
          <w:rFonts w:asciiTheme="majorHAnsi" w:eastAsia="Times New Roman" w:hAnsiTheme="majorHAnsi" w:cstheme="majorHAnsi"/>
          <w:color w:val="000000"/>
          <w:sz w:val="21"/>
          <w:szCs w:val="21"/>
        </w:rPr>
        <w:t>Accordingly, Part III serves as an initial documentary requirements checklist for the proposed project, with the corresponding documents to be completed, secured, and attached upon approval and prior to the conduct of activities requiring such documentation. This approach ensures that the implementation of KUSOG will be properly coordinated, documented, and supported by the necessary approvals and agreements with the target community and partner agencies</w:t>
      </w:r>
    </w:p>
    <w:p w14:paraId="3F2AE233" w14:textId="77777777" w:rsidR="00CA0E97" w:rsidRDefault="00CA0E97" w:rsidP="00CA0E97">
      <w:pPr>
        <w:pStyle w:val="NoSpacing"/>
        <w:rPr>
          <w:rFonts w:asciiTheme="majorHAnsi" w:eastAsia="Times New Roman" w:hAnsiTheme="majorHAnsi" w:cstheme="majorHAnsi"/>
          <w:color w:val="000000"/>
          <w:sz w:val="21"/>
          <w:szCs w:val="21"/>
        </w:rPr>
      </w:pPr>
    </w:p>
    <w:p w14:paraId="41AFE590" w14:textId="77777777" w:rsidR="00370C25" w:rsidRDefault="00370C25"/>
    <w:sectPr w:rsidR="00370C25" w:rsidSect="00CA0E97">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B7175"/>
    <w:multiLevelType w:val="multilevel"/>
    <w:tmpl w:val="BD4A6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9172C4"/>
    <w:multiLevelType w:val="multilevel"/>
    <w:tmpl w:val="1C22AD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EE7687A"/>
    <w:multiLevelType w:val="hybridMultilevel"/>
    <w:tmpl w:val="D57CAB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7AE2960"/>
    <w:multiLevelType w:val="multilevel"/>
    <w:tmpl w:val="F3F828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242D82"/>
    <w:multiLevelType w:val="hybridMultilevel"/>
    <w:tmpl w:val="94CA898C"/>
    <w:lvl w:ilvl="0" w:tplc="3572ADF8">
      <w:start w:val="1"/>
      <w:numFmt w:val="decimal"/>
      <w:lvlText w:val="%1."/>
      <w:lvlJc w:val="left"/>
      <w:pPr>
        <w:ind w:left="410" w:hanging="360"/>
      </w:pPr>
    </w:lvl>
    <w:lvl w:ilvl="1" w:tplc="04090019">
      <w:start w:val="1"/>
      <w:numFmt w:val="lowerLetter"/>
      <w:lvlText w:val="%2."/>
      <w:lvlJc w:val="left"/>
      <w:pPr>
        <w:ind w:left="1130" w:hanging="360"/>
      </w:pPr>
    </w:lvl>
    <w:lvl w:ilvl="2" w:tplc="0409001B">
      <w:start w:val="1"/>
      <w:numFmt w:val="lowerRoman"/>
      <w:lvlText w:val="%3."/>
      <w:lvlJc w:val="right"/>
      <w:pPr>
        <w:ind w:left="1850" w:hanging="180"/>
      </w:pPr>
    </w:lvl>
    <w:lvl w:ilvl="3" w:tplc="0409000F">
      <w:start w:val="1"/>
      <w:numFmt w:val="decimal"/>
      <w:lvlText w:val="%4."/>
      <w:lvlJc w:val="left"/>
      <w:pPr>
        <w:ind w:left="2570" w:hanging="360"/>
      </w:pPr>
    </w:lvl>
    <w:lvl w:ilvl="4" w:tplc="04090019">
      <w:start w:val="1"/>
      <w:numFmt w:val="lowerLetter"/>
      <w:lvlText w:val="%5."/>
      <w:lvlJc w:val="left"/>
      <w:pPr>
        <w:ind w:left="3290" w:hanging="360"/>
      </w:pPr>
    </w:lvl>
    <w:lvl w:ilvl="5" w:tplc="0409001B">
      <w:start w:val="1"/>
      <w:numFmt w:val="lowerRoman"/>
      <w:lvlText w:val="%6."/>
      <w:lvlJc w:val="right"/>
      <w:pPr>
        <w:ind w:left="4010" w:hanging="180"/>
      </w:pPr>
    </w:lvl>
    <w:lvl w:ilvl="6" w:tplc="0409000F">
      <w:start w:val="1"/>
      <w:numFmt w:val="decimal"/>
      <w:lvlText w:val="%7."/>
      <w:lvlJc w:val="left"/>
      <w:pPr>
        <w:ind w:left="4730" w:hanging="360"/>
      </w:pPr>
    </w:lvl>
    <w:lvl w:ilvl="7" w:tplc="04090019">
      <w:start w:val="1"/>
      <w:numFmt w:val="lowerLetter"/>
      <w:lvlText w:val="%8."/>
      <w:lvlJc w:val="left"/>
      <w:pPr>
        <w:ind w:left="5450" w:hanging="360"/>
      </w:pPr>
    </w:lvl>
    <w:lvl w:ilvl="8" w:tplc="0409001B">
      <w:start w:val="1"/>
      <w:numFmt w:val="lowerRoman"/>
      <w:lvlText w:val="%9."/>
      <w:lvlJc w:val="right"/>
      <w:pPr>
        <w:ind w:left="6170" w:hanging="180"/>
      </w:pPr>
    </w:lvl>
  </w:abstractNum>
  <w:abstractNum w:abstractNumId="5" w15:restartNumberingAfterBreak="0">
    <w:nsid w:val="7BC0424E"/>
    <w:multiLevelType w:val="multilevel"/>
    <w:tmpl w:val="DBFCF3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EE570BB"/>
    <w:multiLevelType w:val="hybridMultilevel"/>
    <w:tmpl w:val="138683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59680935">
    <w:abstractNumId w:val="6"/>
  </w:num>
  <w:num w:numId="2" w16cid:durableId="423310172">
    <w:abstractNumId w:val="2"/>
  </w:num>
  <w:num w:numId="3" w16cid:durableId="40176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4910990">
    <w:abstractNumId w:val="3"/>
  </w:num>
  <w:num w:numId="5" w16cid:durableId="609514833">
    <w:abstractNumId w:val="0"/>
  </w:num>
  <w:num w:numId="6" w16cid:durableId="1688870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08126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E97"/>
    <w:rsid w:val="001C30BC"/>
    <w:rsid w:val="00370C25"/>
    <w:rsid w:val="004F20D5"/>
    <w:rsid w:val="00527207"/>
    <w:rsid w:val="00562318"/>
    <w:rsid w:val="005F498D"/>
    <w:rsid w:val="00725062"/>
    <w:rsid w:val="00CA0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8EAA5"/>
  <w15:chartTrackingRefBased/>
  <w15:docId w15:val="{43C48CDE-836F-4462-9FFA-F3C3F542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E97"/>
    <w:pPr>
      <w:spacing w:after="0" w:line="240" w:lineRule="auto"/>
    </w:pPr>
    <w:rPr>
      <w:rFonts w:ascii="Times New Roman" w:eastAsiaTheme="minorEastAsia" w:hAnsi="Times New Roman" w:cs="Times New Roman"/>
      <w:kern w:val="0"/>
      <w14:ligatures w14:val="none"/>
    </w:rPr>
  </w:style>
  <w:style w:type="paragraph" w:styleId="Heading1">
    <w:name w:val="heading 1"/>
    <w:basedOn w:val="Normal"/>
    <w:next w:val="Normal"/>
    <w:link w:val="Heading1Char"/>
    <w:uiPriority w:val="9"/>
    <w:qFormat/>
    <w:rsid w:val="00CA0E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0E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0E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0E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0E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0E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E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E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E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E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0E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0E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0E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0E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0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0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0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0E97"/>
    <w:rPr>
      <w:rFonts w:eastAsiaTheme="majorEastAsia" w:cstheme="majorBidi"/>
      <w:color w:val="272727" w:themeColor="text1" w:themeTint="D8"/>
    </w:rPr>
  </w:style>
  <w:style w:type="paragraph" w:styleId="Title">
    <w:name w:val="Title"/>
    <w:basedOn w:val="Normal"/>
    <w:next w:val="Normal"/>
    <w:link w:val="TitleChar"/>
    <w:uiPriority w:val="10"/>
    <w:qFormat/>
    <w:rsid w:val="00CA0E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0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0E97"/>
    <w:pPr>
      <w:spacing w:before="160"/>
      <w:jc w:val="center"/>
    </w:pPr>
    <w:rPr>
      <w:i/>
      <w:iCs/>
      <w:color w:val="404040" w:themeColor="text1" w:themeTint="BF"/>
    </w:rPr>
  </w:style>
  <w:style w:type="character" w:customStyle="1" w:styleId="QuoteChar">
    <w:name w:val="Quote Char"/>
    <w:basedOn w:val="DefaultParagraphFont"/>
    <w:link w:val="Quote"/>
    <w:uiPriority w:val="29"/>
    <w:rsid w:val="00CA0E97"/>
    <w:rPr>
      <w:i/>
      <w:iCs/>
      <w:color w:val="404040" w:themeColor="text1" w:themeTint="BF"/>
    </w:rPr>
  </w:style>
  <w:style w:type="paragraph" w:styleId="ListParagraph">
    <w:name w:val="List Paragraph"/>
    <w:basedOn w:val="Normal"/>
    <w:uiPriority w:val="34"/>
    <w:qFormat/>
    <w:rsid w:val="00CA0E97"/>
    <w:pPr>
      <w:ind w:left="720"/>
      <w:contextualSpacing/>
    </w:pPr>
  </w:style>
  <w:style w:type="character" w:styleId="IntenseEmphasis">
    <w:name w:val="Intense Emphasis"/>
    <w:basedOn w:val="DefaultParagraphFont"/>
    <w:uiPriority w:val="21"/>
    <w:qFormat/>
    <w:rsid w:val="00CA0E97"/>
    <w:rPr>
      <w:i/>
      <w:iCs/>
      <w:color w:val="2F5496" w:themeColor="accent1" w:themeShade="BF"/>
    </w:rPr>
  </w:style>
  <w:style w:type="paragraph" w:styleId="IntenseQuote">
    <w:name w:val="Intense Quote"/>
    <w:basedOn w:val="Normal"/>
    <w:next w:val="Normal"/>
    <w:link w:val="IntenseQuoteChar"/>
    <w:uiPriority w:val="30"/>
    <w:qFormat/>
    <w:rsid w:val="00CA0E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0E97"/>
    <w:rPr>
      <w:i/>
      <w:iCs/>
      <w:color w:val="2F5496" w:themeColor="accent1" w:themeShade="BF"/>
    </w:rPr>
  </w:style>
  <w:style w:type="character" w:styleId="IntenseReference">
    <w:name w:val="Intense Reference"/>
    <w:basedOn w:val="DefaultParagraphFont"/>
    <w:uiPriority w:val="32"/>
    <w:qFormat/>
    <w:rsid w:val="00CA0E97"/>
    <w:rPr>
      <w:b/>
      <w:bCs/>
      <w:smallCaps/>
      <w:color w:val="2F5496" w:themeColor="accent1" w:themeShade="BF"/>
      <w:spacing w:val="5"/>
    </w:rPr>
  </w:style>
  <w:style w:type="paragraph" w:styleId="NoSpacing">
    <w:name w:val="No Spacing"/>
    <w:uiPriority w:val="1"/>
    <w:qFormat/>
    <w:rsid w:val="00CA0E97"/>
    <w:pPr>
      <w:spacing w:after="0" w:line="240" w:lineRule="auto"/>
    </w:pPr>
    <w:rPr>
      <w:rFonts w:ascii="Times New Roman" w:eastAsiaTheme="minorEastAsia" w:hAnsi="Times New Roman" w:cs="Times New Roman"/>
      <w:kern w:val="0"/>
      <w14:ligatures w14:val="none"/>
    </w:rPr>
  </w:style>
  <w:style w:type="character" w:customStyle="1" w:styleId="fill-line1">
    <w:name w:val="fill-line1"/>
    <w:basedOn w:val="DefaultParagraphFont"/>
    <w:rsid w:val="00CA0E97"/>
    <w:rPr>
      <w:vanish w:val="0"/>
      <w:webHidden w:val="0"/>
      <w:specVanish w:val="0"/>
    </w:rPr>
  </w:style>
  <w:style w:type="table" w:styleId="TableGrid">
    <w:name w:val="Table Grid"/>
    <w:basedOn w:val="TableNormal"/>
    <w:uiPriority w:val="39"/>
    <w:rsid w:val="00CA0E97"/>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A0E97"/>
    <w:rPr>
      <w:b/>
      <w:bCs/>
    </w:rPr>
  </w:style>
  <w:style w:type="character" w:styleId="Emphasis">
    <w:name w:val="Emphasis"/>
    <w:basedOn w:val="DefaultParagraphFont"/>
    <w:uiPriority w:val="20"/>
    <w:qFormat/>
    <w:rsid w:val="00CA0E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3949</Words>
  <Characters>22510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HomePC</cp:lastModifiedBy>
  <cp:revision>3</cp:revision>
  <dcterms:created xsi:type="dcterms:W3CDTF">2026-09-28T12:15:00Z</dcterms:created>
  <dcterms:modified xsi:type="dcterms:W3CDTF">2026-09-28T12:40:00Z</dcterms:modified>
</cp:coreProperties>
</file>