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75A3A" w:rsidRDefault="00F75A3A" w:rsidP="00F75A3A">
      <w:pPr>
        <w:pStyle w:val="Heading2"/>
        <w:spacing w:after="0"/>
        <w:rPr>
          <w:rFonts w:ascii="Calibri" w:eastAsia="Times New Roman" w:hAnsi="Calibri" w:cs="Calibri"/>
          <w:color w:val="000000"/>
        </w:rPr>
      </w:pPr>
    </w:p>
    <w:p w:rsidR="00F75A3A" w:rsidRDefault="00F75A3A" w:rsidP="00F75A3A">
      <w:pPr>
        <w:pStyle w:val="Heading2"/>
        <w:spacing w:after="0"/>
        <w:rPr>
          <w:rFonts w:ascii="Calibri" w:eastAsia="Times New Roman" w:hAnsi="Calibri" w:cs="Calibri"/>
          <w:color w:val="000000"/>
        </w:rPr>
      </w:pPr>
      <w:r>
        <w:rPr>
          <w:rFonts w:ascii="Calibri" w:eastAsia="Times New Roman" w:hAnsi="Calibri" w:cs="Calibri"/>
          <w:color w:val="000000"/>
        </w:rPr>
        <w:t>PART III</w:t>
      </w:r>
      <w:r>
        <w:rPr>
          <w:rFonts w:ascii="Calibri" w:eastAsia="Times New Roman" w:hAnsi="Calibri" w:cs="Calibri"/>
          <w:color w:val="000000"/>
        </w:rPr>
        <w:br/>
        <w:t>DOCUMENTARY ATTACHMENTS</w:t>
      </w:r>
    </w:p>
    <w:p w:rsidR="00F75A3A" w:rsidRPr="00AF3E7D" w:rsidRDefault="00F75A3A" w:rsidP="00F75A3A">
      <w:pPr>
        <w:pStyle w:val="Heading2"/>
        <w:spacing w:before="0"/>
        <w:rPr>
          <w:rFonts w:ascii="Calibri" w:eastAsia="Times New Roman" w:hAnsi="Calibri" w:cs="Calibri"/>
          <w:color w:val="000000"/>
          <w:sz w:val="24"/>
          <w:szCs w:val="24"/>
        </w:rPr>
      </w:pPr>
      <w:r>
        <w:rPr>
          <w:rFonts w:ascii="Calibri" w:eastAsia="Times New Roman" w:hAnsi="Calibri" w:cs="Calibri"/>
          <w:noProof/>
          <w:color w:val="000000"/>
          <w:sz w:val="22"/>
          <w:szCs w:val="22"/>
        </w:rPr>
        <mc:AlternateContent>
          <mc:Choice Requires="wps">
            <w:drawing>
              <wp:anchor distT="0" distB="0" distL="114300" distR="114300" simplePos="0" relativeHeight="251659264" behindDoc="0" locked="0" layoutInCell="1" allowOverlap="1" wp14:anchorId="52808F25" wp14:editId="29006A57">
                <wp:simplePos x="0" y="0"/>
                <wp:positionH relativeFrom="column">
                  <wp:posOffset>-110441</wp:posOffset>
                </wp:positionH>
                <wp:positionV relativeFrom="paragraph">
                  <wp:posOffset>254429</wp:posOffset>
                </wp:positionV>
                <wp:extent cx="6424551" cy="6369957"/>
                <wp:effectExtent l="0" t="0" r="14605" b="18415"/>
                <wp:wrapNone/>
                <wp:docPr id="1520112149" name="Rounded Rectangle 1"/>
                <wp:cNvGraphicFramePr/>
                <a:graphic xmlns:a="http://schemas.openxmlformats.org/drawingml/2006/main">
                  <a:graphicData uri="http://schemas.microsoft.com/office/word/2010/wordprocessingShape">
                    <wps:wsp>
                      <wps:cNvSpPr/>
                      <wps:spPr>
                        <a:xfrm>
                          <a:off x="0" y="0"/>
                          <a:ext cx="6424551" cy="6369957"/>
                        </a:xfrm>
                        <a:prstGeom prst="roundRect">
                          <a:avLst/>
                        </a:prstGeom>
                      </wps:spPr>
                      <wps:style>
                        <a:lnRef idx="2">
                          <a:schemeClr val="dk1"/>
                        </a:lnRef>
                        <a:fillRef idx="1">
                          <a:schemeClr val="lt1"/>
                        </a:fillRef>
                        <a:effectRef idx="0">
                          <a:schemeClr val="dk1"/>
                        </a:effectRef>
                        <a:fontRef idx="minor">
                          <a:schemeClr val="dk1"/>
                        </a:fontRef>
                      </wps:style>
                      <wps:txbx>
                        <w:txbxContent>
                          <w:p w:rsidR="00F75A3A" w:rsidRDefault="00F75A3A" w:rsidP="00F75A3A">
                            <w:pPr>
                              <w:ind w:firstLine="720"/>
                              <w:jc w:val="both"/>
                            </w:pPr>
                            <w:r>
                              <w:t>The proposed SCIENCE TEACHIGN BUDDIES extension program is grounded in the documented experiences of out-of-field science teachers and in the intervention described in the dissertation, Community of Practice Experiences of Out-of-Field Science Teachers (</w:t>
                            </w:r>
                            <w:proofErr w:type="spellStart"/>
                            <w:r>
                              <w:t>Edulan</w:t>
                            </w:r>
                            <w:proofErr w:type="spellEnd"/>
                            <w:r>
                              <w:t>, 2024). The research addressed a practical problem encountered by teachers who were assigned to teach science outside their formal preparation or specialization. The study focused on the difficulties experienced by these teachers, the ways they responded to those difficulties, the support they needed, and their experiences while participating in a virtual Community of Practice Intervention (</w:t>
                            </w:r>
                            <w:proofErr w:type="spellStart"/>
                            <w:r>
                              <w:t>vCoPI</w:t>
                            </w:r>
                            <w:proofErr w:type="spellEnd"/>
                            <w:r>
                              <w:t>). The research provides a relevant basis for an extension program because it examined an actual professional concern and implemented a support mechanism intended to respond to that concern.</w:t>
                            </w:r>
                          </w:p>
                          <w:p w:rsidR="00F75A3A" w:rsidRDefault="00F75A3A" w:rsidP="00F75A3A">
                            <w:pPr>
                              <w:ind w:firstLine="720"/>
                              <w:jc w:val="both"/>
                            </w:pPr>
                            <w:r>
                              <w:t>Before the intervention, the participating out-of-field science teachers described science teaching as challenging because they were sometimes required to handle content beyond their formal preparation. Their experiences reflected inadequate training or background knowledge, difficulty accessing appropriate resources and specialist assistance, limited confidence in teaching unfamiliar science content, and a sense of professional isolation. Teachers nevertheless developed ways of coping with these conditions. They searched for information independently, reviewed science content before teaching, used available instructional resources, sought assistance from colleagues or mentors, and adapted their teaching approaches to address the needs of their learners. Their accounts also showed that their commitment to students and their desire for professional growth motivated them to continue learning despite the challenges they encountered (</w:t>
                            </w:r>
                            <w:proofErr w:type="spellStart"/>
                            <w:r>
                              <w:t>Edulan</w:t>
                            </w:r>
                            <w:proofErr w:type="spellEnd"/>
                            <w:r>
                              <w:t>, 2024).</w:t>
                            </w:r>
                          </w:p>
                          <w:p w:rsidR="00F75A3A" w:rsidRDefault="00F75A3A" w:rsidP="00F75A3A">
                            <w:pPr>
                              <w:ind w:firstLine="720"/>
                              <w:jc w:val="both"/>
                            </w:pPr>
                            <w:r>
                              <w:t xml:space="preserve">In response to these identified needs, the study implemented a virtual Community of Practice Intervention through an online environment supported by continuing communication, expert input, peer interaction, discussion, mentoring, problem solving, and sharing of teaching resources. The intervention provided participants with opportunities to ask questions, clarify difficult science concepts, exchange experiences and instructional materials, receive guidance from more knowledgeable colleagues or experts, and obtain encouragement from fellow teachers. This arrangement is consistent with the broader concept of a community of practice, in which practitioners learn collectively around concerns arising from their shared practice and improve their practice through regular interaction (Wenger-Trayner &amp; Wenger-Trayner, 2015).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2808F25" id="Rounded Rectangle 1" o:spid="_x0000_s1026" style="position:absolute;margin-left:-8.7pt;margin-top:20.05pt;width:505.85pt;height:501.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" fillcolor="white [3201]" strokecolor="black [3200]" strokeweight="1pt">
                <v:stroke joinstyle="miter"/>
                <v:textbox>
                  <w:txbxContent>
                    <w:p w:rsidR="00F75A3A" w:rsidRDefault="00F75A3A" w:rsidP="00F75A3A">
                      <w:pPr>
                        <w:ind w:firstLine="720"/>
                        <w:jc w:val="both"/>
                      </w:pPr>
                      <w:r>
                        <w:t>The proposed SCIENCE TEACHIGN BUDDIES extension program is grounded in the documented experiences of out-of-field science teachers and in the intervention described in the dissertation, Community of Practice Experiences of Out-of-Field Science Teachers (</w:t>
                      </w:r>
                      <w:proofErr w:type="spellStart"/>
                      <w:r>
                        <w:t>Edulan</w:t>
                      </w:r>
                      <w:proofErr w:type="spellEnd"/>
                      <w:r>
                        <w:t>, 2024). The research addressed a practical problem encountered by teachers who were assigned to teach science outside their formal preparation or specialization. The study focused on the difficulties experienced by these teachers, the ways they responded to those difficulties, the support they needed, and their experiences while participating in a virtual Community of Practice Intervention (</w:t>
                      </w:r>
                      <w:proofErr w:type="spellStart"/>
                      <w:r>
                        <w:t>vCoPI</w:t>
                      </w:r>
                      <w:proofErr w:type="spellEnd"/>
                      <w:r>
                        <w:t>). The research provides a relevant basis for an extension program because it examined an actual professional concern and implemented a support mechanism intended to respond to that concern.</w:t>
                      </w:r>
                    </w:p>
                    <w:p w:rsidR="00F75A3A" w:rsidRDefault="00F75A3A" w:rsidP="00F75A3A">
                      <w:pPr>
                        <w:ind w:firstLine="720"/>
                        <w:jc w:val="both"/>
                      </w:pPr>
                      <w:r>
                        <w:t>Before the intervention, the participating out-of-field science teachers described science teaching as challenging because they were sometimes required to handle content beyond their formal preparation. Their experiences reflected inadequate training or background knowledge, difficulty accessing appropriate resources and specialist assistance, limited confidence in teaching unfamiliar science content, and a sense of professional isolation. Teachers nevertheless developed ways of coping with these conditions. They searched for information independently, reviewed science content before teaching, used available instructional resources, sought assistance from colleagues or mentors, and adapted their teaching approaches to address the needs of their learners. Their accounts also showed that their commitment to students and their desire for professional growth motivated them to continue learning despite the challenges they encountered (</w:t>
                      </w:r>
                      <w:proofErr w:type="spellStart"/>
                      <w:r>
                        <w:t>Edulan</w:t>
                      </w:r>
                      <w:proofErr w:type="spellEnd"/>
                      <w:r>
                        <w:t>, 2024).</w:t>
                      </w:r>
                    </w:p>
                    <w:p w:rsidR="00F75A3A" w:rsidRDefault="00F75A3A" w:rsidP="00F75A3A">
                      <w:pPr>
                        <w:ind w:firstLine="720"/>
                        <w:jc w:val="both"/>
                      </w:pPr>
                      <w:r>
                        <w:t xml:space="preserve">In response to these identified needs, the study implemented a virtual Community of Practice Intervention through an online environment supported by continuing communication, expert input, peer interaction, discussion, mentoring, problem solving, and sharing of teaching resources. The intervention provided participants with opportunities to ask questions, clarify difficult science concepts, exchange experiences and instructional materials, receive guidance from more knowledgeable colleagues or experts, and obtain encouragement from fellow teachers. This arrangement is consistent with the broader concept of a community of practice, in which practitioners learn collectively around concerns arising from their shared practice and improve their practice through regular interaction (Wenger-Trayner &amp; Wenger-Trayner, 2015). </w:t>
                      </w:r>
                    </w:p>
                  </w:txbxContent>
                </v:textbox>
              </v:roundrect>
            </w:pict>
          </mc:Fallback>
        </mc:AlternateContent>
      </w:r>
      <w:r>
        <w:rPr>
          <w:rFonts w:ascii="Calibri" w:eastAsia="Times New Roman" w:hAnsi="Calibri" w:cs="Calibri"/>
          <w:color w:val="000000"/>
          <w:sz w:val="22"/>
          <w:szCs w:val="22"/>
        </w:rPr>
        <w:t>Research output used as the basis for the extension program</w:t>
      </w:r>
    </w:p>
    <w:p w:rsidR="00F75A3A" w:rsidRDefault="00F75A3A" w:rsidP="00F75A3A">
      <w:pPr>
        <w:spacing w:before="100" w:beforeAutospacing="1" w:after="120"/>
        <w:rPr>
          <w:rFonts w:ascii="Calibri" w:eastAsia="Times New Roman" w:hAnsi="Calibri" w:cs="Calibri"/>
          <w:color w:val="000000"/>
          <w:sz w:val="22"/>
          <w:szCs w:val="22"/>
        </w:rPr>
      </w:pPr>
    </w:p>
    <w:p w:rsidR="00F75A3A" w:rsidRDefault="00F75A3A" w:rsidP="00F75A3A">
      <w:pPr>
        <w:spacing w:before="100" w:beforeAutospacing="1" w:after="120"/>
        <w:rPr>
          <w:rFonts w:ascii="Calibri" w:eastAsia="Times New Roman" w:hAnsi="Calibri" w:cs="Calibri"/>
          <w:color w:val="000000"/>
          <w:sz w:val="22"/>
          <w:szCs w:val="22"/>
        </w:rPr>
      </w:pPr>
    </w:p>
    <w:p w:rsidR="00F75A3A" w:rsidRDefault="00F75A3A" w:rsidP="00F75A3A">
      <w:pPr>
        <w:spacing w:before="100" w:beforeAutospacing="1" w:after="120"/>
        <w:rPr>
          <w:rFonts w:ascii="Calibri" w:eastAsia="Times New Roman" w:hAnsi="Calibri" w:cs="Calibri"/>
          <w:color w:val="000000"/>
          <w:sz w:val="22"/>
          <w:szCs w:val="22"/>
        </w:rPr>
      </w:pPr>
    </w:p>
    <w:p w:rsidR="00F75A3A" w:rsidRDefault="00F75A3A" w:rsidP="00F75A3A">
      <w:pPr>
        <w:spacing w:before="100" w:beforeAutospacing="1" w:after="120"/>
        <w:rPr>
          <w:rFonts w:ascii="Calibri" w:eastAsia="Times New Roman" w:hAnsi="Calibri" w:cs="Calibri"/>
          <w:color w:val="000000"/>
          <w:sz w:val="22"/>
          <w:szCs w:val="22"/>
        </w:rPr>
      </w:pPr>
    </w:p>
    <w:p w:rsidR="00F75A3A" w:rsidRDefault="00F75A3A" w:rsidP="00F75A3A">
      <w:pPr>
        <w:spacing w:before="100" w:beforeAutospacing="1" w:after="120"/>
        <w:rPr>
          <w:rFonts w:ascii="Calibri" w:eastAsia="Times New Roman" w:hAnsi="Calibri" w:cs="Calibri"/>
          <w:color w:val="000000"/>
          <w:sz w:val="22"/>
          <w:szCs w:val="22"/>
        </w:rPr>
      </w:pPr>
    </w:p>
    <w:p w:rsidR="00F75A3A" w:rsidRDefault="00F75A3A" w:rsidP="00F75A3A">
      <w:pPr>
        <w:spacing w:before="100" w:beforeAutospacing="1" w:after="120"/>
        <w:rPr>
          <w:rFonts w:ascii="Calibri" w:eastAsia="Times New Roman" w:hAnsi="Calibri" w:cs="Calibri"/>
          <w:color w:val="000000"/>
          <w:sz w:val="22"/>
          <w:szCs w:val="22"/>
        </w:rPr>
      </w:pPr>
    </w:p>
    <w:p w:rsidR="00F75A3A" w:rsidRDefault="00F75A3A" w:rsidP="00F75A3A">
      <w:pPr>
        <w:spacing w:before="100" w:beforeAutospacing="1" w:after="120"/>
        <w:rPr>
          <w:rFonts w:ascii="Calibri" w:eastAsia="Times New Roman" w:hAnsi="Calibri" w:cs="Calibri"/>
          <w:color w:val="000000"/>
          <w:sz w:val="22"/>
          <w:szCs w:val="22"/>
        </w:rPr>
      </w:pPr>
    </w:p>
    <w:p w:rsidR="00F75A3A" w:rsidRDefault="00F75A3A" w:rsidP="00F75A3A">
      <w:pPr>
        <w:spacing w:before="100" w:beforeAutospacing="1" w:after="120"/>
        <w:rPr>
          <w:rFonts w:ascii="Calibri" w:eastAsia="Times New Roman" w:hAnsi="Calibri" w:cs="Calibri"/>
          <w:color w:val="000000"/>
          <w:sz w:val="22"/>
          <w:szCs w:val="22"/>
        </w:rPr>
      </w:pPr>
    </w:p>
    <w:p w:rsidR="00F75A3A" w:rsidRDefault="00F75A3A" w:rsidP="00F75A3A">
      <w:pPr>
        <w:spacing w:before="100" w:beforeAutospacing="1" w:after="120"/>
        <w:rPr>
          <w:rFonts w:ascii="Calibri" w:eastAsia="Times New Roman" w:hAnsi="Calibri" w:cs="Calibri"/>
          <w:color w:val="000000"/>
          <w:sz w:val="22"/>
          <w:szCs w:val="22"/>
        </w:rPr>
      </w:pPr>
    </w:p>
    <w:p w:rsidR="00F75A3A" w:rsidRDefault="00F75A3A" w:rsidP="00F75A3A">
      <w:pPr>
        <w:spacing w:before="100" w:beforeAutospacing="1" w:after="120"/>
        <w:rPr>
          <w:rFonts w:ascii="Calibri" w:eastAsia="Times New Roman" w:hAnsi="Calibri" w:cs="Calibri"/>
          <w:color w:val="000000"/>
          <w:sz w:val="22"/>
          <w:szCs w:val="22"/>
        </w:rPr>
      </w:pPr>
    </w:p>
    <w:p w:rsidR="00F75A3A" w:rsidRDefault="00F75A3A" w:rsidP="00F75A3A">
      <w:pPr>
        <w:spacing w:before="100" w:beforeAutospacing="1" w:after="120"/>
        <w:rPr>
          <w:rFonts w:ascii="Calibri" w:eastAsia="Times New Roman" w:hAnsi="Calibri" w:cs="Calibri"/>
          <w:color w:val="000000"/>
          <w:sz w:val="22"/>
          <w:szCs w:val="22"/>
        </w:rPr>
      </w:pPr>
    </w:p>
    <w:p w:rsidR="00F75A3A" w:rsidRDefault="00F75A3A" w:rsidP="00F75A3A">
      <w:pPr>
        <w:spacing w:before="100" w:beforeAutospacing="1" w:after="120"/>
        <w:rPr>
          <w:rFonts w:ascii="Calibri" w:eastAsia="Times New Roman" w:hAnsi="Calibri" w:cs="Calibri"/>
          <w:color w:val="000000"/>
          <w:sz w:val="22"/>
          <w:szCs w:val="22"/>
        </w:rPr>
      </w:pPr>
    </w:p>
    <w:p w:rsidR="00F75A3A" w:rsidRDefault="00F75A3A" w:rsidP="00F75A3A">
      <w:pPr>
        <w:spacing w:before="100" w:beforeAutospacing="1" w:after="120"/>
        <w:rPr>
          <w:rFonts w:ascii="Calibri" w:eastAsia="Times New Roman" w:hAnsi="Calibri" w:cs="Calibri"/>
          <w:color w:val="000000"/>
          <w:sz w:val="22"/>
          <w:szCs w:val="22"/>
        </w:rPr>
      </w:pPr>
    </w:p>
    <w:p w:rsidR="00F75A3A" w:rsidRDefault="00F75A3A" w:rsidP="00F75A3A">
      <w:pPr>
        <w:spacing w:before="100" w:beforeAutospacing="1" w:after="120"/>
        <w:rPr>
          <w:rFonts w:ascii="Calibri" w:eastAsia="Times New Roman" w:hAnsi="Calibri" w:cs="Calibri"/>
          <w:color w:val="000000"/>
          <w:sz w:val="22"/>
          <w:szCs w:val="22"/>
        </w:rPr>
      </w:pPr>
    </w:p>
    <w:p w:rsidR="00F75A3A" w:rsidRDefault="00F75A3A" w:rsidP="00F75A3A">
      <w:pPr>
        <w:spacing w:before="100" w:beforeAutospacing="1" w:after="120"/>
        <w:rPr>
          <w:rFonts w:ascii="Calibri" w:eastAsia="Times New Roman" w:hAnsi="Calibri" w:cs="Calibri"/>
          <w:color w:val="000000"/>
          <w:sz w:val="22"/>
          <w:szCs w:val="22"/>
        </w:rPr>
      </w:pPr>
    </w:p>
    <w:p w:rsidR="00F75A3A" w:rsidRDefault="00F75A3A" w:rsidP="00F75A3A">
      <w:pPr>
        <w:spacing w:before="100" w:beforeAutospacing="1" w:after="120"/>
        <w:rPr>
          <w:rFonts w:ascii="Calibri" w:eastAsia="Times New Roman" w:hAnsi="Calibri" w:cs="Calibri"/>
          <w:color w:val="000000"/>
          <w:sz w:val="22"/>
          <w:szCs w:val="22"/>
        </w:rPr>
      </w:pPr>
    </w:p>
    <w:p w:rsidR="00F75A3A" w:rsidRDefault="00F75A3A" w:rsidP="00F75A3A">
      <w:pPr>
        <w:spacing w:before="100" w:beforeAutospacing="1" w:after="120"/>
        <w:rPr>
          <w:rFonts w:ascii="Calibri" w:eastAsia="Times New Roman" w:hAnsi="Calibri" w:cs="Calibri"/>
          <w:color w:val="000000"/>
          <w:sz w:val="22"/>
          <w:szCs w:val="22"/>
        </w:rPr>
      </w:pPr>
    </w:p>
    <w:p w:rsidR="00F75A3A" w:rsidRDefault="00F75A3A" w:rsidP="00F75A3A">
      <w:pPr>
        <w:spacing w:before="100" w:beforeAutospacing="1" w:after="120"/>
        <w:rPr>
          <w:rFonts w:ascii="Calibri" w:eastAsia="Times New Roman" w:hAnsi="Calibri" w:cs="Calibri"/>
          <w:color w:val="000000"/>
          <w:sz w:val="22"/>
          <w:szCs w:val="22"/>
        </w:rPr>
      </w:pPr>
    </w:p>
    <w:p w:rsidR="00F75A3A" w:rsidRDefault="00F75A3A" w:rsidP="00F75A3A">
      <w:pPr>
        <w:spacing w:before="100" w:beforeAutospacing="1" w:after="120"/>
        <w:rPr>
          <w:rFonts w:ascii="Calibri" w:eastAsia="Times New Roman" w:hAnsi="Calibri" w:cs="Calibri"/>
          <w:color w:val="000000"/>
          <w:sz w:val="22"/>
          <w:szCs w:val="22"/>
        </w:rPr>
      </w:pPr>
    </w:p>
    <w:p w:rsidR="00F75A3A" w:rsidRDefault="00F75A3A" w:rsidP="00F75A3A">
      <w:pPr>
        <w:spacing w:before="100" w:beforeAutospacing="1" w:after="120"/>
        <w:rPr>
          <w:rFonts w:ascii="Calibri" w:eastAsia="Times New Roman" w:hAnsi="Calibri" w:cs="Calibri"/>
          <w:color w:val="000000"/>
          <w:sz w:val="22"/>
          <w:szCs w:val="22"/>
        </w:rPr>
      </w:pPr>
    </w:p>
    <w:p w:rsidR="00F75A3A" w:rsidRDefault="00F75A3A" w:rsidP="00F75A3A">
      <w:pPr>
        <w:spacing w:before="100" w:beforeAutospacing="1" w:after="120"/>
        <w:rPr>
          <w:rFonts w:ascii="Calibri" w:eastAsia="Times New Roman" w:hAnsi="Calibri" w:cs="Calibri"/>
          <w:color w:val="000000"/>
          <w:sz w:val="22"/>
          <w:szCs w:val="22"/>
        </w:rPr>
      </w:pPr>
      <w:r>
        <w:rPr>
          <w:rFonts w:ascii="Calibri" w:eastAsia="Times New Roman" w:hAnsi="Calibri" w:cs="Calibri"/>
          <w:noProof/>
          <w:color w:val="000000"/>
          <w:sz w:val="22"/>
          <w:szCs w:val="22"/>
        </w:rPr>
        <w:lastRenderedPageBreak/>
        <mc:AlternateContent>
          <mc:Choice Requires="wps">
            <w:drawing>
              <wp:anchor distT="0" distB="0" distL="114300" distR="114300" simplePos="0" relativeHeight="251660288" behindDoc="0" locked="0" layoutInCell="1" allowOverlap="1" wp14:anchorId="0FFC54AA" wp14:editId="5E48B50E">
                <wp:simplePos x="0" y="0"/>
                <wp:positionH relativeFrom="column">
                  <wp:posOffset>-3563</wp:posOffset>
                </wp:positionH>
                <wp:positionV relativeFrom="paragraph">
                  <wp:posOffset>251164</wp:posOffset>
                </wp:positionV>
                <wp:extent cx="6424295" cy="7813964"/>
                <wp:effectExtent l="0" t="0" r="14605" b="9525"/>
                <wp:wrapNone/>
                <wp:docPr id="838407551" name="Rounded Rectangle 1"/>
                <wp:cNvGraphicFramePr/>
                <a:graphic xmlns:a="http://schemas.openxmlformats.org/drawingml/2006/main">
                  <a:graphicData uri="http://schemas.microsoft.com/office/word/2010/wordprocessingShape">
                    <wps:wsp>
                      <wps:cNvSpPr/>
                      <wps:spPr>
                        <a:xfrm>
                          <a:off x="0" y="0"/>
                          <a:ext cx="6424295" cy="7813964"/>
                        </a:xfrm>
                        <a:prstGeom prst="roundRect">
                          <a:avLst/>
                        </a:prstGeom>
                      </wps:spPr>
                      <wps:style>
                        <a:lnRef idx="2">
                          <a:schemeClr val="dk1"/>
                        </a:lnRef>
                        <a:fillRef idx="1">
                          <a:schemeClr val="lt1"/>
                        </a:fillRef>
                        <a:effectRef idx="0">
                          <a:schemeClr val="dk1"/>
                        </a:effectRef>
                        <a:fontRef idx="minor">
                          <a:schemeClr val="dk1"/>
                        </a:fontRef>
                      </wps:style>
                      <wps:txbx>
                        <w:txbxContent>
                          <w:p w:rsidR="00F75A3A" w:rsidRDefault="00F75A3A" w:rsidP="00F75A3A">
                            <w:pPr>
                              <w:ind w:firstLine="720"/>
                              <w:jc w:val="both"/>
                            </w:pPr>
                            <w:r>
                              <w:t xml:space="preserve">The experiences reported during participation in the </w:t>
                            </w:r>
                            <w:proofErr w:type="spellStart"/>
                            <w:r>
                              <w:t>vCoP</w:t>
                            </w:r>
                            <w:proofErr w:type="spellEnd"/>
                            <w:r>
                              <w:t xml:space="preserve"> showed that the online community became a source of professional and interpersonal support. Participants were able to interact with other teachers who understood the challenges of teaching outside one's specialization, while expert input provided opportunities for clarification and professional learning. Resource sharing reduced the difficulty of locating materials for unfamiliar topics, and continuing conversations allowed teachers to raise concerns as they encountered them in their teaching practice. The intervention therefore functioned not simply as a series of training activities but as an ongoing support environment in which teachers could learn from experts and from one another (</w:t>
                            </w:r>
                            <w:proofErr w:type="spellStart"/>
                            <w:r>
                              <w:t>Edulan</w:t>
                            </w:r>
                            <w:proofErr w:type="spellEnd"/>
                            <w:r>
                              <w:t>, 2024).</w:t>
                            </w:r>
                          </w:p>
                          <w:p w:rsidR="00F75A3A" w:rsidRDefault="00F75A3A" w:rsidP="00F75A3A">
                            <w:pPr>
                              <w:ind w:firstLine="720"/>
                              <w:jc w:val="both"/>
                            </w:pPr>
                            <w:r>
                              <w:t>The qualitative findings further documented changes in participants' experiences after their involvement in the virtual Community of Practice. The study described movement from apprehension toward a more positive outlook, from being reserved toward becoming more active, and from feeling unsupported toward feeling included, accepted, supported, and appreciated. Participants also described strengthened confidence and motivation, greater professional engagement, and the development and application of science content and pedagogical knowledge. The findings identified collaborative learning and mutual assistance, emotional support and encouragement, expert input and professional development, knowledge sharing and application, mentorship and validation, practical support and resource sharing, and a psychologically safe space for communication as important features of the intervention (</w:t>
                            </w:r>
                            <w:proofErr w:type="spellStart"/>
                            <w:r>
                              <w:t>Edulan</w:t>
                            </w:r>
                            <w:proofErr w:type="spellEnd"/>
                            <w:r>
                              <w:t>, 2024).</w:t>
                            </w:r>
                          </w:p>
                          <w:p w:rsidR="00F75A3A" w:rsidRDefault="00F75A3A" w:rsidP="00F75A3A">
                            <w:pPr>
                              <w:ind w:firstLine="720"/>
                              <w:jc w:val="both"/>
                            </w:pPr>
                            <w:r>
                              <w:t xml:space="preserve">Viewed as an intervention-oriented research experience, these findings demonstrate a progression from an identified professional problem, through the implementation of a structured support mechanism, toward reported improvements in teachers' experiences and professional participation. Although the evidence was qualitative and was based primarily on participants' accounts and descriptions of their experiences, the findings provide documented evidence of change within the context of the intervention. The research therefore offers a useful foundation for an extension initiative that seeks to address the continuing needs of teachers who are assigned to science content outside their formal specialization. The evidence does not establish a universal or statistically generalizable effect; rather, it demonstrates how the </w:t>
                            </w:r>
                            <w:proofErr w:type="spellStart"/>
                            <w:r>
                              <w:t>vCoP</w:t>
                            </w:r>
                            <w:proofErr w:type="spellEnd"/>
                            <w:r>
                              <w:t xml:space="preserve"> functioned for the teachers who participated in the study and identifies mechanisms that may be translated into an extension setting (</w:t>
                            </w:r>
                            <w:proofErr w:type="spellStart"/>
                            <w:r>
                              <w:t>Edulan</w:t>
                            </w:r>
                            <w:proofErr w:type="spellEnd"/>
                            <w:r>
                              <w:t>, 2024).</w:t>
                            </w:r>
                          </w:p>
                          <w:p w:rsidR="00F75A3A" w:rsidRDefault="00F75A3A" w:rsidP="00F75A3A">
                            <w:pPr>
                              <w:ind w:firstLine="720"/>
                              <w:jc w:val="both"/>
                            </w:pPr>
                            <w:r>
                              <w:t>The dissertation's recommendations provide a direct bridge to the proposed extension program. The study recommended sustained professional support for out-of-field teachers, continuing opportunities for professional development, mentorship, access to teaching resources, regular expert-led learning opportunities, peer collaboration and resource sharing, and the continued development and expansion of the virtual Community of Practice. It also recommended conducting a thorough needs assessment before professional development activities so that support can respond to the actual needs of participating teachers, as well as considering the integration of the community-based approach into existing professional learning structures such as Learning Action Cells (</w:t>
                            </w:r>
                            <w:proofErr w:type="spellStart"/>
                            <w:r>
                              <w:t>Edulan</w:t>
                            </w:r>
                            <w:proofErr w:type="spellEnd"/>
                            <w:r>
                              <w:t>, 2024).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FFC54AA" id="_x0000_s1027" style="position:absolute;margin-left:-.3pt;margin-top:19.8pt;width:505.85pt;height:615.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" fillcolor="white [3201]" strokecolor="black [3200]" strokeweight="1pt">
                <v:stroke joinstyle="miter"/>
                <v:textbox>
                  <w:txbxContent>
                    <w:p w:rsidR="00F75A3A" w:rsidRDefault="00F75A3A" w:rsidP="00F75A3A">
                      <w:pPr>
                        <w:ind w:firstLine="720"/>
                        <w:jc w:val="both"/>
                      </w:pPr>
                      <w:r>
                        <w:t xml:space="preserve">The experiences reported during participation in the </w:t>
                      </w:r>
                      <w:proofErr w:type="spellStart"/>
                      <w:r>
                        <w:t>vCoP</w:t>
                      </w:r>
                      <w:proofErr w:type="spellEnd"/>
                      <w:r>
                        <w:t xml:space="preserve"> showed that the online community became a source of professional and interpersonal support. Participants were able to interact with other teachers who understood the challenges of teaching outside one's specialization, while expert input provided opportunities for clarification and professional learning. Resource sharing reduced the difficulty of locating materials for unfamiliar topics, and continuing conversations allowed teachers to raise concerns as they encountered them in their teaching practice. The intervention therefore functioned not simply as a series of training activities but as an ongoing support environment in which teachers could learn from experts and from one another (</w:t>
                      </w:r>
                      <w:proofErr w:type="spellStart"/>
                      <w:r>
                        <w:t>Edulan</w:t>
                      </w:r>
                      <w:proofErr w:type="spellEnd"/>
                      <w:r>
                        <w:t>, 2024).</w:t>
                      </w:r>
                    </w:p>
                    <w:p w:rsidR="00F75A3A" w:rsidRDefault="00F75A3A" w:rsidP="00F75A3A">
                      <w:pPr>
                        <w:ind w:firstLine="720"/>
                        <w:jc w:val="both"/>
                      </w:pPr>
                      <w:r>
                        <w:t>The qualitative findings further documented changes in participants' experiences after their involvement in the virtual Community of Practice. The study described movement from apprehension toward a more positive outlook, from being reserved toward becoming more active, and from feeling unsupported toward feeling included, accepted, supported, and appreciated. Participants also described strengthened confidence and motivation, greater professional engagement, and the development and application of science content and pedagogical knowledge. The findings identified collaborative learning and mutual assistance, emotional support and encouragement, expert input and professional development, knowledge sharing and application, mentorship and validation, practical support and resource sharing, and a psychologically safe space for communication as important features of the intervention (</w:t>
                      </w:r>
                      <w:proofErr w:type="spellStart"/>
                      <w:r>
                        <w:t>Edulan</w:t>
                      </w:r>
                      <w:proofErr w:type="spellEnd"/>
                      <w:r>
                        <w:t>, 2024).</w:t>
                      </w:r>
                    </w:p>
                    <w:p w:rsidR="00F75A3A" w:rsidRDefault="00F75A3A" w:rsidP="00F75A3A">
                      <w:pPr>
                        <w:ind w:firstLine="720"/>
                        <w:jc w:val="both"/>
                      </w:pPr>
                      <w:r>
                        <w:t xml:space="preserve">Viewed as an intervention-oriented research experience, these findings demonstrate a progression from an identified professional problem, through the implementation of a structured support mechanism, toward reported improvements in teachers' experiences and professional participation. Although the evidence was qualitative and was based primarily on participants' accounts and descriptions of their experiences, the findings provide documented evidence of change within the context of the intervention. The research therefore offers a useful foundation for an extension initiative that seeks to address the continuing needs of teachers who are assigned to science content outside their formal specialization. The evidence does not establish a universal or statistically generalizable effect; rather, it demonstrates how the </w:t>
                      </w:r>
                      <w:proofErr w:type="spellStart"/>
                      <w:r>
                        <w:t>vCoP</w:t>
                      </w:r>
                      <w:proofErr w:type="spellEnd"/>
                      <w:r>
                        <w:t xml:space="preserve"> functioned for the teachers who participated in the study and identifies mechanisms that may be translated into an extension setting (</w:t>
                      </w:r>
                      <w:proofErr w:type="spellStart"/>
                      <w:r>
                        <w:t>Edulan</w:t>
                      </w:r>
                      <w:proofErr w:type="spellEnd"/>
                      <w:r>
                        <w:t>, 2024).</w:t>
                      </w:r>
                    </w:p>
                    <w:p w:rsidR="00F75A3A" w:rsidRDefault="00F75A3A" w:rsidP="00F75A3A">
                      <w:pPr>
                        <w:ind w:firstLine="720"/>
                        <w:jc w:val="both"/>
                      </w:pPr>
                      <w:r>
                        <w:t>The dissertation's recommendations provide a direct bridge to the proposed extension program. The study recommended sustained professional support for out-of-field teachers, continuing opportunities for professional development, mentorship, access to teaching resources, regular expert-led learning opportunities, peer collaboration and resource sharing, and the continued development and expansion of the virtual Community of Practice. It also recommended conducting a thorough needs assessment before professional development activities so that support can respond to the actual needs of participating teachers, as well as considering the integration of the community-based approach into existing professional learning structures such as Learning Action Cells (</w:t>
                      </w:r>
                      <w:proofErr w:type="spellStart"/>
                      <w:r>
                        <w:t>Edulan</w:t>
                      </w:r>
                      <w:proofErr w:type="spellEnd"/>
                      <w:r>
                        <w:t>, 2024).</w:t>
                      </w:r>
                    </w:p>
                  </w:txbxContent>
                </v:textbox>
              </v:roundrect>
            </w:pict>
          </mc:Fallback>
        </mc:AlternateContent>
      </w:r>
    </w:p>
    <w:p w:rsidR="00F75A3A" w:rsidRDefault="00F75A3A" w:rsidP="00F75A3A">
      <w:pPr>
        <w:spacing w:before="100" w:beforeAutospacing="1" w:after="120"/>
        <w:rPr>
          <w:rFonts w:ascii="Calibri" w:eastAsia="Times New Roman" w:hAnsi="Calibri" w:cs="Calibri"/>
          <w:color w:val="000000"/>
          <w:sz w:val="22"/>
          <w:szCs w:val="22"/>
        </w:rPr>
      </w:pPr>
    </w:p>
    <w:p w:rsidR="00F75A3A" w:rsidRDefault="00F75A3A" w:rsidP="00F75A3A">
      <w:pPr>
        <w:spacing w:before="100" w:beforeAutospacing="1" w:after="120"/>
        <w:rPr>
          <w:rFonts w:ascii="Calibri" w:eastAsia="Times New Roman" w:hAnsi="Calibri" w:cs="Calibri"/>
          <w:color w:val="000000"/>
          <w:sz w:val="22"/>
          <w:szCs w:val="22"/>
        </w:rPr>
      </w:pPr>
    </w:p>
    <w:p w:rsidR="00F75A3A" w:rsidRDefault="00F75A3A" w:rsidP="00F75A3A">
      <w:pPr>
        <w:spacing w:before="100" w:beforeAutospacing="1" w:after="120"/>
        <w:rPr>
          <w:rFonts w:ascii="Calibri" w:eastAsia="Times New Roman" w:hAnsi="Calibri" w:cs="Calibri"/>
          <w:color w:val="000000"/>
          <w:sz w:val="22"/>
          <w:szCs w:val="22"/>
        </w:rPr>
      </w:pPr>
    </w:p>
    <w:p w:rsidR="00F75A3A" w:rsidRDefault="00F75A3A" w:rsidP="00F75A3A">
      <w:pPr>
        <w:spacing w:before="100" w:beforeAutospacing="1" w:after="120"/>
        <w:rPr>
          <w:rFonts w:ascii="Calibri" w:eastAsia="Times New Roman" w:hAnsi="Calibri" w:cs="Calibri"/>
          <w:color w:val="000000"/>
          <w:sz w:val="22"/>
          <w:szCs w:val="22"/>
        </w:rPr>
      </w:pPr>
    </w:p>
    <w:p w:rsidR="00F75A3A" w:rsidRDefault="00F75A3A" w:rsidP="00F75A3A">
      <w:pPr>
        <w:spacing w:before="100" w:beforeAutospacing="1" w:after="120"/>
        <w:rPr>
          <w:rFonts w:ascii="Calibri" w:eastAsia="Times New Roman" w:hAnsi="Calibri" w:cs="Calibri"/>
          <w:color w:val="000000"/>
          <w:sz w:val="22"/>
          <w:szCs w:val="22"/>
        </w:rPr>
      </w:pPr>
    </w:p>
    <w:p w:rsidR="00F75A3A" w:rsidRDefault="00F75A3A" w:rsidP="00F75A3A">
      <w:pPr>
        <w:spacing w:before="100" w:beforeAutospacing="1" w:after="120"/>
        <w:rPr>
          <w:rFonts w:ascii="Calibri" w:eastAsia="Times New Roman" w:hAnsi="Calibri" w:cs="Calibri"/>
          <w:color w:val="000000"/>
          <w:sz w:val="22"/>
          <w:szCs w:val="22"/>
        </w:rPr>
      </w:pPr>
    </w:p>
    <w:p w:rsidR="00F75A3A" w:rsidRDefault="00F75A3A" w:rsidP="00F75A3A">
      <w:pPr>
        <w:spacing w:before="100" w:beforeAutospacing="1" w:after="120"/>
        <w:rPr>
          <w:rFonts w:ascii="Calibri" w:eastAsia="Times New Roman" w:hAnsi="Calibri" w:cs="Calibri"/>
          <w:color w:val="000000"/>
          <w:sz w:val="22"/>
          <w:szCs w:val="22"/>
        </w:rPr>
      </w:pPr>
    </w:p>
    <w:p w:rsidR="00F75A3A" w:rsidRDefault="00F75A3A" w:rsidP="00F75A3A">
      <w:pPr>
        <w:spacing w:before="100" w:beforeAutospacing="1" w:after="120"/>
        <w:rPr>
          <w:rFonts w:ascii="Calibri" w:eastAsia="Times New Roman" w:hAnsi="Calibri" w:cs="Calibri"/>
          <w:color w:val="000000"/>
          <w:sz w:val="22"/>
          <w:szCs w:val="22"/>
        </w:rPr>
      </w:pPr>
    </w:p>
    <w:p w:rsidR="00F75A3A" w:rsidRDefault="00F75A3A" w:rsidP="00F75A3A">
      <w:pPr>
        <w:spacing w:before="100" w:beforeAutospacing="1" w:after="120"/>
        <w:rPr>
          <w:rFonts w:ascii="Calibri" w:eastAsia="Times New Roman" w:hAnsi="Calibri" w:cs="Calibri"/>
          <w:color w:val="000000"/>
          <w:sz w:val="22"/>
          <w:szCs w:val="22"/>
        </w:rPr>
      </w:pPr>
    </w:p>
    <w:p w:rsidR="00F75A3A" w:rsidRDefault="00F75A3A" w:rsidP="00F75A3A">
      <w:pPr>
        <w:spacing w:before="100" w:beforeAutospacing="1" w:after="120"/>
        <w:rPr>
          <w:rFonts w:ascii="Calibri" w:eastAsia="Times New Roman" w:hAnsi="Calibri" w:cs="Calibri"/>
          <w:color w:val="000000"/>
          <w:sz w:val="22"/>
          <w:szCs w:val="22"/>
        </w:rPr>
      </w:pPr>
    </w:p>
    <w:p w:rsidR="00F75A3A" w:rsidRDefault="00F75A3A" w:rsidP="00F75A3A">
      <w:pPr>
        <w:spacing w:before="100" w:beforeAutospacing="1" w:after="120"/>
        <w:rPr>
          <w:rFonts w:ascii="Calibri" w:eastAsia="Times New Roman" w:hAnsi="Calibri" w:cs="Calibri"/>
          <w:color w:val="000000"/>
          <w:sz w:val="22"/>
          <w:szCs w:val="22"/>
        </w:rPr>
      </w:pPr>
    </w:p>
    <w:p w:rsidR="00F75A3A" w:rsidRDefault="00F75A3A" w:rsidP="00F75A3A">
      <w:pPr>
        <w:spacing w:before="100" w:beforeAutospacing="1" w:after="120"/>
        <w:rPr>
          <w:rFonts w:ascii="Calibri" w:eastAsia="Times New Roman" w:hAnsi="Calibri" w:cs="Calibri"/>
          <w:color w:val="000000"/>
          <w:sz w:val="22"/>
          <w:szCs w:val="22"/>
        </w:rPr>
      </w:pPr>
    </w:p>
    <w:p w:rsidR="00F75A3A" w:rsidRDefault="00F75A3A" w:rsidP="00F75A3A">
      <w:pPr>
        <w:spacing w:before="100" w:beforeAutospacing="1" w:after="120"/>
        <w:rPr>
          <w:rFonts w:ascii="Calibri" w:eastAsia="Times New Roman" w:hAnsi="Calibri" w:cs="Calibri"/>
          <w:color w:val="000000"/>
          <w:sz w:val="22"/>
          <w:szCs w:val="22"/>
        </w:rPr>
      </w:pPr>
    </w:p>
    <w:p w:rsidR="00F75A3A" w:rsidRDefault="00F75A3A" w:rsidP="00F75A3A">
      <w:pPr>
        <w:spacing w:before="100" w:beforeAutospacing="1" w:after="120"/>
        <w:rPr>
          <w:rFonts w:ascii="Calibri" w:eastAsia="Times New Roman" w:hAnsi="Calibri" w:cs="Calibri"/>
          <w:color w:val="000000"/>
          <w:sz w:val="22"/>
          <w:szCs w:val="22"/>
        </w:rPr>
      </w:pPr>
    </w:p>
    <w:p w:rsidR="00F75A3A" w:rsidRDefault="00F75A3A" w:rsidP="00F75A3A">
      <w:pPr>
        <w:spacing w:before="100" w:beforeAutospacing="1" w:after="120"/>
        <w:rPr>
          <w:rFonts w:ascii="Calibri" w:eastAsia="Times New Roman" w:hAnsi="Calibri" w:cs="Calibri"/>
          <w:color w:val="000000"/>
          <w:sz w:val="22"/>
          <w:szCs w:val="22"/>
        </w:rPr>
      </w:pPr>
    </w:p>
    <w:p w:rsidR="00F75A3A" w:rsidRDefault="00F75A3A" w:rsidP="00F75A3A">
      <w:pPr>
        <w:spacing w:before="100" w:beforeAutospacing="1" w:after="120"/>
        <w:rPr>
          <w:rFonts w:ascii="Calibri" w:eastAsia="Times New Roman" w:hAnsi="Calibri" w:cs="Calibri"/>
          <w:color w:val="000000"/>
          <w:sz w:val="22"/>
          <w:szCs w:val="22"/>
        </w:rPr>
      </w:pPr>
    </w:p>
    <w:p w:rsidR="00F75A3A" w:rsidRDefault="00F75A3A" w:rsidP="00F75A3A">
      <w:pPr>
        <w:spacing w:before="100" w:beforeAutospacing="1" w:after="120"/>
        <w:rPr>
          <w:rFonts w:ascii="Calibri" w:eastAsia="Times New Roman" w:hAnsi="Calibri" w:cs="Calibri"/>
          <w:color w:val="000000"/>
          <w:sz w:val="22"/>
          <w:szCs w:val="22"/>
        </w:rPr>
      </w:pPr>
    </w:p>
    <w:p w:rsidR="00F75A3A" w:rsidRDefault="00F75A3A" w:rsidP="00F75A3A">
      <w:pPr>
        <w:spacing w:before="100" w:beforeAutospacing="1" w:after="120"/>
        <w:rPr>
          <w:rFonts w:ascii="Calibri" w:eastAsia="Times New Roman" w:hAnsi="Calibri" w:cs="Calibri"/>
          <w:color w:val="000000"/>
          <w:sz w:val="22"/>
          <w:szCs w:val="22"/>
        </w:rPr>
      </w:pPr>
    </w:p>
    <w:p w:rsidR="00F75A3A" w:rsidRDefault="00F75A3A" w:rsidP="00F75A3A">
      <w:pPr>
        <w:spacing w:before="100" w:beforeAutospacing="1" w:after="120"/>
        <w:rPr>
          <w:rFonts w:ascii="Calibri" w:eastAsia="Times New Roman" w:hAnsi="Calibri" w:cs="Calibri"/>
          <w:color w:val="000000"/>
          <w:sz w:val="22"/>
          <w:szCs w:val="22"/>
        </w:rPr>
      </w:pPr>
    </w:p>
    <w:p w:rsidR="00F75A3A" w:rsidRDefault="00F75A3A" w:rsidP="00F75A3A">
      <w:pPr>
        <w:spacing w:before="100" w:beforeAutospacing="1" w:after="120"/>
        <w:rPr>
          <w:rFonts w:ascii="Calibri" w:eastAsia="Times New Roman" w:hAnsi="Calibri" w:cs="Calibri"/>
          <w:color w:val="000000"/>
          <w:sz w:val="22"/>
          <w:szCs w:val="22"/>
        </w:rPr>
      </w:pPr>
    </w:p>
    <w:p w:rsidR="00F75A3A" w:rsidRDefault="00F75A3A" w:rsidP="00F75A3A">
      <w:pPr>
        <w:spacing w:before="100" w:beforeAutospacing="1" w:after="120"/>
        <w:rPr>
          <w:rFonts w:ascii="Calibri" w:eastAsia="Times New Roman" w:hAnsi="Calibri" w:cs="Calibri"/>
          <w:color w:val="000000"/>
          <w:sz w:val="22"/>
          <w:szCs w:val="22"/>
        </w:rPr>
      </w:pPr>
    </w:p>
    <w:p w:rsidR="00F75A3A" w:rsidRDefault="00F75A3A" w:rsidP="00F75A3A">
      <w:pPr>
        <w:spacing w:before="100" w:beforeAutospacing="1" w:after="120"/>
        <w:rPr>
          <w:rFonts w:ascii="Calibri" w:eastAsia="Times New Roman" w:hAnsi="Calibri" w:cs="Calibri"/>
          <w:color w:val="000000"/>
          <w:sz w:val="22"/>
          <w:szCs w:val="22"/>
        </w:rPr>
      </w:pPr>
    </w:p>
    <w:p w:rsidR="00F75A3A" w:rsidRDefault="00F75A3A" w:rsidP="00F75A3A">
      <w:pPr>
        <w:spacing w:before="100" w:beforeAutospacing="1" w:after="120"/>
        <w:rPr>
          <w:rFonts w:ascii="Calibri" w:eastAsia="Times New Roman" w:hAnsi="Calibri" w:cs="Calibri"/>
          <w:color w:val="000000"/>
          <w:sz w:val="22"/>
          <w:szCs w:val="22"/>
        </w:rPr>
      </w:pPr>
    </w:p>
    <w:p w:rsidR="00F75A3A" w:rsidRDefault="00F75A3A" w:rsidP="00F75A3A">
      <w:pPr>
        <w:spacing w:before="100" w:beforeAutospacing="1" w:after="120"/>
        <w:rPr>
          <w:rFonts w:ascii="Calibri" w:eastAsia="Times New Roman" w:hAnsi="Calibri" w:cs="Calibri"/>
          <w:color w:val="000000"/>
          <w:sz w:val="22"/>
          <w:szCs w:val="22"/>
        </w:rPr>
      </w:pPr>
    </w:p>
    <w:p w:rsidR="00F75A3A" w:rsidRDefault="00F75A3A" w:rsidP="00F75A3A">
      <w:pPr>
        <w:spacing w:before="100" w:beforeAutospacing="1" w:after="120"/>
        <w:rPr>
          <w:rFonts w:ascii="Calibri" w:eastAsia="Times New Roman" w:hAnsi="Calibri" w:cs="Calibri"/>
          <w:color w:val="000000"/>
          <w:sz w:val="22"/>
          <w:szCs w:val="22"/>
        </w:rPr>
      </w:pPr>
    </w:p>
    <w:p w:rsidR="00F75A3A" w:rsidRDefault="00F75A3A" w:rsidP="00F75A3A">
      <w:pPr>
        <w:spacing w:before="100" w:beforeAutospacing="1" w:after="120"/>
        <w:rPr>
          <w:rFonts w:ascii="Calibri" w:eastAsia="Times New Roman" w:hAnsi="Calibri" w:cs="Calibri"/>
          <w:color w:val="000000"/>
          <w:sz w:val="22"/>
          <w:szCs w:val="22"/>
        </w:rPr>
      </w:pPr>
      <w:r>
        <w:rPr>
          <w:rFonts w:ascii="Calibri" w:eastAsia="Times New Roman" w:hAnsi="Calibri" w:cs="Calibri"/>
          <w:noProof/>
          <w:color w:val="000000"/>
          <w:sz w:val="22"/>
          <w:szCs w:val="22"/>
        </w:rPr>
        <mc:AlternateContent>
          <mc:Choice Requires="wps">
            <w:drawing>
              <wp:anchor distT="0" distB="0" distL="114300" distR="114300" simplePos="0" relativeHeight="251661312" behindDoc="0" locked="0" layoutInCell="1" allowOverlap="1" wp14:anchorId="2656B5E0" wp14:editId="678C1968">
                <wp:simplePos x="0" y="0"/>
                <wp:positionH relativeFrom="column">
                  <wp:posOffset>0</wp:posOffset>
                </wp:positionH>
                <wp:positionV relativeFrom="paragraph">
                  <wp:posOffset>1270</wp:posOffset>
                </wp:positionV>
                <wp:extent cx="6424295" cy="7980218"/>
                <wp:effectExtent l="0" t="0" r="14605" b="8255"/>
                <wp:wrapNone/>
                <wp:docPr id="793441436" name="Rounded Rectangle 1"/>
                <wp:cNvGraphicFramePr/>
                <a:graphic xmlns:a="http://schemas.openxmlformats.org/drawingml/2006/main">
                  <a:graphicData uri="http://schemas.microsoft.com/office/word/2010/wordprocessingShape">
                    <wps:wsp>
                      <wps:cNvSpPr/>
                      <wps:spPr>
                        <a:xfrm>
                          <a:off x="0" y="0"/>
                          <a:ext cx="6424295" cy="7980218"/>
                        </a:xfrm>
                        <a:prstGeom prst="roundRect">
                          <a:avLst/>
                        </a:prstGeom>
                      </wps:spPr>
                      <wps:style>
                        <a:lnRef idx="2">
                          <a:schemeClr val="dk1"/>
                        </a:lnRef>
                        <a:fillRef idx="1">
                          <a:schemeClr val="lt1"/>
                        </a:fillRef>
                        <a:effectRef idx="0">
                          <a:schemeClr val="dk1"/>
                        </a:effectRef>
                        <a:fontRef idx="minor">
                          <a:schemeClr val="dk1"/>
                        </a:fontRef>
                      </wps:style>
                      <wps:txbx>
                        <w:txbxContent>
                          <w:p w:rsidR="00F75A3A" w:rsidRDefault="00F75A3A" w:rsidP="00F75A3A">
                            <w:pPr>
                              <w:ind w:firstLine="720"/>
                              <w:jc w:val="both"/>
                            </w:pPr>
                            <w:r>
                              <w:t xml:space="preserve">The program will establish the Science Teaching Buddies </w:t>
                            </w:r>
                            <w:proofErr w:type="spellStart"/>
                            <w:r>
                              <w:t>vCoP</w:t>
                            </w:r>
                            <w:proofErr w:type="spellEnd"/>
                            <w:r>
                              <w:t xml:space="preserve"> as a continuing space where participants can ask questions, discuss classroom concerns, exchange instructional materials, seek clarification from peers and experts, and receive professional encouragement. The </w:t>
                            </w:r>
                            <w:proofErr w:type="spellStart"/>
                            <w:r>
                              <w:t>vCoP</w:t>
                            </w:r>
                            <w:proofErr w:type="spellEnd"/>
                            <w:r>
                              <w:t xml:space="preserve"> will complement, rather than replace, the face-to-face or online content mastery sessions that will be organized according to the identified needs of participating teachers.</w:t>
                            </w:r>
                          </w:p>
                          <w:p w:rsidR="00F75A3A" w:rsidRDefault="00F75A3A" w:rsidP="00F75A3A">
                            <w:pPr>
                              <w:ind w:firstLine="720"/>
                              <w:jc w:val="both"/>
                            </w:pPr>
                            <w:r>
                              <w:t>The proposed extension program also translates the progression observed in the research into a continuing professional support model. Teachers who initially experience uncertainty when assigned unfamiliar science content can be provided with opportunities to strengthen their conceptual understanding, consult subject-area experts, learn from colleagues, and access relevant instructional resources. As participation continues, the program will encourage teachers to move from seeking assistance to actively contributing resources, experiences, explanations, and solutions to the community. In this way, the research basis supports an extension approach that combines content mastery with sustained peer learning, mentoring, and resource exchange.</w:t>
                            </w:r>
                          </w:p>
                          <w:p w:rsidR="00F75A3A" w:rsidRDefault="00F75A3A" w:rsidP="00F75A3A">
                            <w:pPr>
                              <w:ind w:firstLine="720"/>
                              <w:jc w:val="both"/>
                            </w:pPr>
                            <w:r>
                              <w:t xml:space="preserve">The proposed program will therefore use a continuing </w:t>
                            </w:r>
                            <w:proofErr w:type="spellStart"/>
                            <w:r>
                              <w:t>vCoP</w:t>
                            </w:r>
                            <w:proofErr w:type="spellEnd"/>
                            <w:r>
                              <w:t xml:space="preserve"> across its three phases. The first phase will respond to Grade 9 Third-Term science content needs, the second phase will address Grade 10 science content across the First through Third Terms, and the third phase will provide a broader cross-specialization space for teachers who handle science subjects or branches outside their formal specialization. Each phase will generate its own evidence of participation, learning needs, activities, outputs, and evaluation, while the </w:t>
                            </w:r>
                            <w:proofErr w:type="spellStart"/>
                            <w:r>
                              <w:t>vCoP</w:t>
                            </w:r>
                            <w:proofErr w:type="spellEnd"/>
                            <w:r>
                              <w:t xml:space="preserve"> will provide continuity across the three years.</w:t>
                            </w:r>
                          </w:p>
                          <w:p w:rsidR="00F75A3A" w:rsidRDefault="00F75A3A" w:rsidP="00F75A3A">
                            <w:pPr>
                              <w:jc w:val="both"/>
                            </w:pPr>
                          </w:p>
                          <w:p w:rsidR="00F75A3A" w:rsidRDefault="00F75A3A" w:rsidP="00F75A3A">
                            <w:pPr>
                              <w:jc w:val="both"/>
                            </w:pPr>
                            <w:r>
                              <w:t>References</w:t>
                            </w:r>
                          </w:p>
                          <w:p w:rsidR="00F75A3A" w:rsidRDefault="00F75A3A" w:rsidP="00F75A3A">
                            <w:pPr>
                              <w:pStyle w:val="ListParagraph"/>
                              <w:numPr>
                                <w:ilvl w:val="0"/>
                                <w:numId w:val="1"/>
                              </w:numPr>
                              <w:ind w:left="851" w:hanging="284"/>
                              <w:jc w:val="both"/>
                            </w:pPr>
                            <w:proofErr w:type="spellStart"/>
                            <w:r>
                              <w:t>Edulan</w:t>
                            </w:r>
                            <w:proofErr w:type="spellEnd"/>
                            <w:r>
                              <w:t>, D. J. B. (2024). Community of practice experiences of out-of-field science teachers [Doctoral dissertation, University of Science and Technology of Southern Philippines].</w:t>
                            </w:r>
                          </w:p>
                          <w:p w:rsidR="00F75A3A" w:rsidRDefault="00F75A3A" w:rsidP="00F75A3A">
                            <w:pPr>
                              <w:pStyle w:val="ListParagraph"/>
                              <w:numPr>
                                <w:ilvl w:val="0"/>
                                <w:numId w:val="1"/>
                              </w:numPr>
                              <w:ind w:left="851" w:hanging="284"/>
                              <w:jc w:val="both"/>
                            </w:pPr>
                            <w:r>
                              <w:t>Wenger-Trayner, E., &amp; Wenger-Trayner, B. (2015). Communities of practice: A brief introduction. Wenger-Trayner. https://www.wenger-trayner.com/wp-content/uploads/2015/04/07-Brief-introduction-to-communities-of-practice.pdf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656B5E0" id="_x0000_s1028" style="position:absolute;margin-left:0;margin-top:.1pt;width:505.85pt;height:628.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" fillcolor="white [3201]" strokecolor="black [3200]" strokeweight="1pt">
                <v:stroke joinstyle="miter"/>
                <v:textbox>
                  <w:txbxContent>
                    <w:p w:rsidR="00F75A3A" w:rsidRDefault="00F75A3A" w:rsidP="00F75A3A">
                      <w:pPr>
                        <w:ind w:firstLine="720"/>
                        <w:jc w:val="both"/>
                      </w:pPr>
                      <w:r>
                        <w:t xml:space="preserve">The program will establish the Science Teaching Buddies </w:t>
                      </w:r>
                      <w:proofErr w:type="spellStart"/>
                      <w:r>
                        <w:t>vCoP</w:t>
                      </w:r>
                      <w:proofErr w:type="spellEnd"/>
                      <w:r>
                        <w:t xml:space="preserve"> as a continuing space where participants can ask questions, discuss classroom concerns, exchange instructional materials, seek clarification from peers and experts, and receive professional encouragement. The </w:t>
                      </w:r>
                      <w:proofErr w:type="spellStart"/>
                      <w:r>
                        <w:t>vCoP</w:t>
                      </w:r>
                      <w:proofErr w:type="spellEnd"/>
                      <w:r>
                        <w:t xml:space="preserve"> will complement, rather than replace, the face-to-face or online content mastery sessions that will be organized according to the identified needs of participating teachers.</w:t>
                      </w:r>
                    </w:p>
                    <w:p w:rsidR="00F75A3A" w:rsidRDefault="00F75A3A" w:rsidP="00F75A3A">
                      <w:pPr>
                        <w:ind w:firstLine="720"/>
                        <w:jc w:val="both"/>
                      </w:pPr>
                      <w:r>
                        <w:t>The proposed extension program also translates the progression observed in the research into a continuing professional support model. Teachers who initially experience uncertainty when assigned unfamiliar science content can be provided with opportunities to strengthen their conceptual understanding, consult subject-area experts, learn from colleagues, and access relevant instructional resources. As participation continues, the program will encourage teachers to move from seeking assistance to actively contributing resources, experiences, explanations, and solutions to the community. In this way, the research basis supports an extension approach that combines content mastery with sustained peer learning, mentoring, and resource exchange.</w:t>
                      </w:r>
                    </w:p>
                    <w:p w:rsidR="00F75A3A" w:rsidRDefault="00F75A3A" w:rsidP="00F75A3A">
                      <w:pPr>
                        <w:ind w:firstLine="720"/>
                        <w:jc w:val="both"/>
                      </w:pPr>
                      <w:r>
                        <w:t xml:space="preserve">The proposed program will therefore use a continuing </w:t>
                      </w:r>
                      <w:proofErr w:type="spellStart"/>
                      <w:r>
                        <w:t>vCoP</w:t>
                      </w:r>
                      <w:proofErr w:type="spellEnd"/>
                      <w:r>
                        <w:t xml:space="preserve"> across its three phases. The first phase will respond to Grade 9 Third-Term science content needs, the second phase will address Grade 10 science content across the First through Third Terms, and the third phase will provide a broader cross-specialization space for teachers who handle science subjects or branches outside their formal specialization. Each phase will generate its own evidence of participation, learning needs, activities, outputs, and evaluation, while the </w:t>
                      </w:r>
                      <w:proofErr w:type="spellStart"/>
                      <w:r>
                        <w:t>vCoP</w:t>
                      </w:r>
                      <w:proofErr w:type="spellEnd"/>
                      <w:r>
                        <w:t xml:space="preserve"> will provide continuity across the three years.</w:t>
                      </w:r>
                    </w:p>
                    <w:p w:rsidR="00F75A3A" w:rsidRDefault="00F75A3A" w:rsidP="00F75A3A">
                      <w:pPr>
                        <w:jc w:val="both"/>
                      </w:pPr>
                    </w:p>
                    <w:p w:rsidR="00F75A3A" w:rsidRDefault="00F75A3A" w:rsidP="00F75A3A">
                      <w:pPr>
                        <w:jc w:val="both"/>
                      </w:pPr>
                      <w:r>
                        <w:t>References</w:t>
                      </w:r>
                    </w:p>
                    <w:p w:rsidR="00F75A3A" w:rsidRDefault="00F75A3A" w:rsidP="00F75A3A">
                      <w:pPr>
                        <w:pStyle w:val="ListParagraph"/>
                        <w:numPr>
                          <w:ilvl w:val="0"/>
                          <w:numId w:val="1"/>
                        </w:numPr>
                        <w:ind w:left="851" w:hanging="284"/>
                        <w:jc w:val="both"/>
                      </w:pPr>
                      <w:proofErr w:type="spellStart"/>
                      <w:r>
                        <w:t>Edulan</w:t>
                      </w:r>
                      <w:proofErr w:type="spellEnd"/>
                      <w:r>
                        <w:t>, D. J. B. (2024). Community of practice experiences of out-of-field science teachers [Doctoral dissertation, University of Science and Technology of Southern Philippines].</w:t>
                      </w:r>
                    </w:p>
                    <w:p w:rsidR="00F75A3A" w:rsidRDefault="00F75A3A" w:rsidP="00F75A3A">
                      <w:pPr>
                        <w:pStyle w:val="ListParagraph"/>
                        <w:numPr>
                          <w:ilvl w:val="0"/>
                          <w:numId w:val="1"/>
                        </w:numPr>
                        <w:ind w:left="851" w:hanging="284"/>
                        <w:jc w:val="both"/>
                      </w:pPr>
                      <w:r>
                        <w:t>Wenger-Trayner, E., &amp; Wenger-Trayner, B. (2015). Communities of practice: A brief introduction. Wenger-Trayner. https://www.wenger-trayner.com/wp-content/uploads/2015/04/07-Brief-introduction-to-communities-of-practice.pdf</w:t>
                      </w:r>
                    </w:p>
                  </w:txbxContent>
                </v:textbox>
              </v:roundrect>
            </w:pict>
          </mc:Fallback>
        </mc:AlternateContent>
      </w:r>
    </w:p>
    <w:p w:rsidR="00F75A3A" w:rsidRDefault="00F75A3A"/>
    <w:sectPr w:rsidR="00F75A3A" w:rsidSect="00F75A3A">
      <w:pgSz w:w="12240" w:h="15840"/>
      <w:pgMar w:top="1440" w:right="1296" w:bottom="1440" w:left="129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64F3E"/>
    <w:multiLevelType w:val="hybridMultilevel"/>
    <w:tmpl w:val="9CF853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3979712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A3A"/>
    <w:rsid w:val="00A8035C"/>
    <w:rsid w:val="00F75A3A"/>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ecimalSymbol w:val="."/>
  <w:listSeparator w:val=","/>
  <w14:docId w14:val="4F0EC9AE"/>
  <w15:chartTrackingRefBased/>
  <w15:docId w15:val="{4DDBB393-460F-1049-B8A9-D8C853B96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5A3A"/>
    <w:pPr>
      <w:spacing w:after="0" w:line="240" w:lineRule="auto"/>
    </w:pPr>
    <w:rPr>
      <w:rFonts w:ascii="Times New Roman" w:eastAsiaTheme="minorEastAsia" w:hAnsi="Times New Roman" w:cs="Times New Roman"/>
      <w:kern w:val="0"/>
      <w14:ligatures w14:val="none"/>
    </w:rPr>
  </w:style>
  <w:style w:type="paragraph" w:styleId="Heading1">
    <w:name w:val="heading 1"/>
    <w:basedOn w:val="Normal"/>
    <w:next w:val="Normal"/>
    <w:link w:val="Heading1Char"/>
    <w:uiPriority w:val="9"/>
    <w:qFormat/>
    <w:rsid w:val="00F75A3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F75A3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75A3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75A3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75A3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75A3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5A3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5A3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5A3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5A3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75A3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75A3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75A3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75A3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75A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5A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5A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5A3A"/>
    <w:rPr>
      <w:rFonts w:eastAsiaTheme="majorEastAsia" w:cstheme="majorBidi"/>
      <w:color w:val="272727" w:themeColor="text1" w:themeTint="D8"/>
    </w:rPr>
  </w:style>
  <w:style w:type="paragraph" w:styleId="Title">
    <w:name w:val="Title"/>
    <w:basedOn w:val="Normal"/>
    <w:next w:val="Normal"/>
    <w:link w:val="TitleChar"/>
    <w:uiPriority w:val="10"/>
    <w:qFormat/>
    <w:rsid w:val="00F75A3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5A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5A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5A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5A3A"/>
    <w:pPr>
      <w:spacing w:before="160"/>
      <w:jc w:val="center"/>
    </w:pPr>
    <w:rPr>
      <w:i/>
      <w:iCs/>
      <w:color w:val="404040" w:themeColor="text1" w:themeTint="BF"/>
    </w:rPr>
  </w:style>
  <w:style w:type="character" w:customStyle="1" w:styleId="QuoteChar">
    <w:name w:val="Quote Char"/>
    <w:basedOn w:val="DefaultParagraphFont"/>
    <w:link w:val="Quote"/>
    <w:uiPriority w:val="29"/>
    <w:rsid w:val="00F75A3A"/>
    <w:rPr>
      <w:i/>
      <w:iCs/>
      <w:color w:val="404040" w:themeColor="text1" w:themeTint="BF"/>
    </w:rPr>
  </w:style>
  <w:style w:type="paragraph" w:styleId="ListParagraph">
    <w:name w:val="List Paragraph"/>
    <w:basedOn w:val="Normal"/>
    <w:uiPriority w:val="34"/>
    <w:qFormat/>
    <w:rsid w:val="00F75A3A"/>
    <w:pPr>
      <w:ind w:left="720"/>
      <w:contextualSpacing/>
    </w:pPr>
  </w:style>
  <w:style w:type="character" w:styleId="IntenseEmphasis">
    <w:name w:val="Intense Emphasis"/>
    <w:basedOn w:val="DefaultParagraphFont"/>
    <w:uiPriority w:val="21"/>
    <w:qFormat/>
    <w:rsid w:val="00F75A3A"/>
    <w:rPr>
      <w:i/>
      <w:iCs/>
      <w:color w:val="2F5496" w:themeColor="accent1" w:themeShade="BF"/>
    </w:rPr>
  </w:style>
  <w:style w:type="paragraph" w:styleId="IntenseQuote">
    <w:name w:val="Intense Quote"/>
    <w:basedOn w:val="Normal"/>
    <w:next w:val="Normal"/>
    <w:link w:val="IntenseQuoteChar"/>
    <w:uiPriority w:val="30"/>
    <w:qFormat/>
    <w:rsid w:val="00F75A3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75A3A"/>
    <w:rPr>
      <w:i/>
      <w:iCs/>
      <w:color w:val="2F5496" w:themeColor="accent1" w:themeShade="BF"/>
    </w:rPr>
  </w:style>
  <w:style w:type="character" w:styleId="IntenseReference">
    <w:name w:val="Intense Reference"/>
    <w:basedOn w:val="DefaultParagraphFont"/>
    <w:uiPriority w:val="32"/>
    <w:qFormat/>
    <w:rsid w:val="00F75A3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21</Words>
  <Characters>124</Characters>
  <Application>Microsoft Office Word</Application>
  <DocSecurity>0</DocSecurity>
  <Lines>1</Lines>
  <Paragraphs>1</Paragraphs>
  <ScaleCrop>false</ScaleCrop>
  <Company/>
  <LinksUpToDate>false</LinksUpToDate>
  <CharactersWithSpaces>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Daicy Mae Barri</dc:creator>
  <cp:keywords/>
  <dc:description/>
  <cp:lastModifiedBy>Daicy Mae Barri</cp:lastModifiedBy>
  <cp:revision>1</cp:revision>
  <dcterms:created xsi:type="dcterms:W3CDTF">2026-09-30T02:45:00Z</dcterms:created>
  <dcterms:modified xsi:type="dcterms:W3CDTF">2026-09-30T02:46:00Z</dcterms:modified>
</cp:coreProperties>
</file>