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69BCE" w14:textId="77777777" w:rsidR="00202317" w:rsidRPr="004A2599" w:rsidRDefault="00234A3E" w:rsidP="00202317">
      <w:pPr>
        <w:spacing w:after="0"/>
        <w:jc w:val="center"/>
        <w:rPr>
          <w:rFonts w:cs="Arial"/>
          <w:b/>
          <w:color w:val="000000" w:themeColor="text1"/>
          <w:sz w:val="24"/>
          <w:szCs w:val="24"/>
        </w:rPr>
      </w:pPr>
      <w:r w:rsidRPr="004A2599">
        <w:rPr>
          <w:rFonts w:cs="Arial"/>
          <w:b/>
          <w:color w:val="000000" w:themeColor="text1"/>
          <w:sz w:val="24"/>
          <w:szCs w:val="24"/>
        </w:rPr>
        <w:t xml:space="preserve">ALTERNATIVE LEARNING SYSTEM PARTICIPATION </w:t>
      </w:r>
    </w:p>
    <w:p w14:paraId="4809B11F" w14:textId="6E2F9150" w:rsidR="005321BA" w:rsidRPr="004A2599" w:rsidRDefault="00234A3E" w:rsidP="00202317">
      <w:pPr>
        <w:spacing w:after="0"/>
        <w:jc w:val="center"/>
        <w:rPr>
          <w:rFonts w:cs="Arial"/>
          <w:b/>
          <w:color w:val="000000" w:themeColor="text1"/>
          <w:sz w:val="24"/>
          <w:szCs w:val="24"/>
        </w:rPr>
      </w:pPr>
      <w:r w:rsidRPr="004A2599">
        <w:rPr>
          <w:rFonts w:cs="Arial"/>
          <w:b/>
          <w:color w:val="000000" w:themeColor="text1"/>
          <w:sz w:val="24"/>
          <w:szCs w:val="24"/>
        </w:rPr>
        <w:t>AND PROGRESSION IN SAN MIGUEL DISTRICT</w:t>
      </w:r>
      <w:r w:rsidR="00202317" w:rsidRPr="004A2599">
        <w:rPr>
          <w:rFonts w:cs="Arial"/>
          <w:color w:val="000000" w:themeColor="text1"/>
          <w:sz w:val="24"/>
          <w:szCs w:val="24"/>
        </w:rPr>
        <w:t xml:space="preserve">: </w:t>
      </w:r>
      <w:r w:rsidRPr="004A2599">
        <w:rPr>
          <w:rFonts w:cs="Arial"/>
          <w:b/>
          <w:color w:val="000000" w:themeColor="text1"/>
          <w:sz w:val="24"/>
          <w:szCs w:val="24"/>
        </w:rPr>
        <w:t>A Baseline Documentary Analysis</w:t>
      </w:r>
    </w:p>
    <w:p w14:paraId="1CBAD31F" w14:textId="77777777" w:rsidR="00202317" w:rsidRPr="004A2599" w:rsidRDefault="00202317" w:rsidP="00202317">
      <w:pPr>
        <w:spacing w:after="0"/>
        <w:jc w:val="center"/>
        <w:rPr>
          <w:rFonts w:cs="Arial"/>
          <w:color w:val="000000" w:themeColor="text1"/>
          <w:sz w:val="20"/>
          <w:szCs w:val="20"/>
        </w:rPr>
      </w:pPr>
    </w:p>
    <w:p w14:paraId="2DE1945F" w14:textId="54B547D3" w:rsidR="005321BA" w:rsidRPr="004A2599" w:rsidRDefault="513EC8B0" w:rsidP="192EAA72">
      <w:pPr>
        <w:spacing w:after="0"/>
        <w:jc w:val="center"/>
      </w:pP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 xml:space="preserve">Servillana M. Del Mundo, </w:t>
      </w:r>
      <w:r w:rsidRPr="513EC8B0">
        <w:rPr>
          <w:rFonts w:eastAsia="Arial" w:cs="Arial"/>
          <w:color w:val="000000" w:themeColor="text1"/>
          <w:sz w:val="20"/>
          <w:szCs w:val="20"/>
          <w:vertAlign w:val="superscript"/>
        </w:rPr>
        <w:t>2</w:t>
      </w:r>
      <w:r w:rsidRPr="513EC8B0">
        <w:rPr>
          <w:rFonts w:eastAsia="Arial" w:cs="Arial"/>
          <w:color w:val="000000" w:themeColor="text1"/>
          <w:sz w:val="20"/>
          <w:szCs w:val="20"/>
        </w:rPr>
        <w:t xml:space="preserve">Jerome S. Apable, </w:t>
      </w: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 xml:space="preserve">Juvie B. Sebial, </w:t>
      </w: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 xml:space="preserve">Jezreel V. Verallo, </w:t>
      </w:r>
    </w:p>
    <w:p w14:paraId="14873AD1" w14:textId="24FB4B8C" w:rsidR="005321BA" w:rsidRPr="004A2599" w:rsidRDefault="513EC8B0" w:rsidP="192EAA72">
      <w:pPr>
        <w:spacing w:after="0"/>
        <w:jc w:val="center"/>
      </w:pP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 xml:space="preserve">Gejazyhlle E. Tampos, </w:t>
      </w: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 xml:space="preserve">Jelie R. Sudiang, </w:t>
      </w: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 xml:space="preserve">Ralph G. Magumpara, </w:t>
      </w:r>
      <w:r w:rsidRPr="513EC8B0">
        <w:rPr>
          <w:rFonts w:eastAsia="Arial" w:cs="Arial"/>
          <w:color w:val="000000" w:themeColor="text1"/>
          <w:sz w:val="20"/>
          <w:szCs w:val="20"/>
          <w:vertAlign w:val="superscript"/>
        </w:rPr>
        <w:t>3</w:t>
      </w:r>
      <w:r w:rsidRPr="513EC8B0">
        <w:rPr>
          <w:rFonts w:eastAsia="Arial" w:cs="Arial"/>
          <w:color w:val="000000" w:themeColor="text1"/>
          <w:sz w:val="20"/>
          <w:szCs w:val="20"/>
        </w:rPr>
        <w:t xml:space="preserve">Sandy R. Albarico, </w:t>
      </w:r>
    </w:p>
    <w:p w14:paraId="43170E93" w14:textId="7FBD45BF" w:rsidR="005321BA" w:rsidRPr="004A2599" w:rsidRDefault="513EC8B0" w:rsidP="192EAA72">
      <w:pPr>
        <w:spacing w:after="0"/>
        <w:jc w:val="center"/>
      </w:pPr>
      <w:r w:rsidRPr="513EC8B0">
        <w:rPr>
          <w:rFonts w:eastAsia="Arial" w:cs="Arial"/>
          <w:color w:val="000000" w:themeColor="text1"/>
          <w:sz w:val="20"/>
          <w:szCs w:val="20"/>
        </w:rPr>
        <w:t xml:space="preserve">&amp; </w:t>
      </w:r>
      <w:r w:rsidRPr="513EC8B0">
        <w:rPr>
          <w:rFonts w:eastAsia="Arial" w:cs="Arial"/>
          <w:color w:val="000000" w:themeColor="text1"/>
          <w:sz w:val="20"/>
          <w:szCs w:val="20"/>
          <w:vertAlign w:val="superscript"/>
        </w:rPr>
        <w:t>1</w:t>
      </w:r>
      <w:r w:rsidRPr="513EC8B0">
        <w:rPr>
          <w:rFonts w:eastAsia="Arial" w:cs="Arial"/>
          <w:color w:val="000000" w:themeColor="text1"/>
          <w:sz w:val="20"/>
          <w:szCs w:val="20"/>
        </w:rPr>
        <w:t>Starr Clyde L. Sebial</w:t>
      </w:r>
    </w:p>
    <w:p w14:paraId="6C848F65" w14:textId="1780909E" w:rsidR="005321BA" w:rsidRPr="004A2599" w:rsidRDefault="005321BA" w:rsidP="192EAA72">
      <w:pPr>
        <w:spacing w:after="0"/>
        <w:jc w:val="center"/>
      </w:pPr>
    </w:p>
    <w:p w14:paraId="412DBFC1" w14:textId="3E104DD7" w:rsidR="005321BA" w:rsidRPr="004A2599" w:rsidRDefault="513EC8B0" w:rsidP="513EC8B0">
      <w:pPr>
        <w:spacing w:after="0" w:line="240" w:lineRule="auto"/>
        <w:jc w:val="center"/>
      </w:pPr>
      <w:r w:rsidRPr="008800C6">
        <w:rPr>
          <w:rFonts w:eastAsia="Arial" w:cs="Arial"/>
          <w:b/>
          <w:bCs/>
          <w:color w:val="000000" w:themeColor="text1"/>
          <w:sz w:val="20"/>
          <w:szCs w:val="20"/>
          <w:vertAlign w:val="superscript"/>
        </w:rPr>
        <w:t>1</w:t>
      </w:r>
      <w:r w:rsidRPr="513EC8B0">
        <w:rPr>
          <w:rFonts w:eastAsia="Arial" w:cs="Arial"/>
          <w:color w:val="000000" w:themeColor="text1"/>
          <w:sz w:val="20"/>
          <w:szCs w:val="20"/>
        </w:rPr>
        <w:t xml:space="preserve">School of Teacher </w:t>
      </w:r>
      <w:r w:rsidRPr="513EC8B0">
        <w:rPr>
          <w:rFonts w:eastAsia="Arial" w:cs="Arial"/>
          <w:sz w:val="20"/>
          <w:szCs w:val="20"/>
        </w:rPr>
        <w:t>Education, J.H.</w:t>
      </w:r>
      <w:r w:rsidRPr="513EC8B0">
        <w:rPr>
          <w:rFonts w:eastAsia="Arial" w:cs="Arial"/>
          <w:color w:val="000000" w:themeColor="text1"/>
          <w:sz w:val="20"/>
          <w:szCs w:val="20"/>
        </w:rPr>
        <w:t xml:space="preserve"> Cerilles State College</w:t>
      </w:r>
    </w:p>
    <w:p w14:paraId="602BE532" w14:textId="7287736D" w:rsidR="005321BA" w:rsidRPr="004A2599" w:rsidRDefault="513EC8B0" w:rsidP="513EC8B0">
      <w:pPr>
        <w:spacing w:after="0" w:line="240" w:lineRule="auto"/>
        <w:jc w:val="center"/>
      </w:pPr>
      <w:r w:rsidRPr="513EC8B0">
        <w:rPr>
          <w:rFonts w:eastAsia="Arial" w:cs="Arial"/>
          <w:color w:val="000000" w:themeColor="text1"/>
          <w:sz w:val="20"/>
          <w:szCs w:val="20"/>
        </w:rPr>
        <w:t>Mati, San Miguel, Zamboanga del Sur</w:t>
      </w:r>
    </w:p>
    <w:p w14:paraId="525E84EA" w14:textId="5AC5814A" w:rsidR="005321BA" w:rsidRPr="004A2599" w:rsidRDefault="513EC8B0" w:rsidP="513EC8B0">
      <w:pPr>
        <w:spacing w:after="0" w:line="240" w:lineRule="auto"/>
        <w:jc w:val="center"/>
      </w:pPr>
      <w:r w:rsidRPr="513EC8B0">
        <w:rPr>
          <w:rFonts w:eastAsia="Arial" w:cs="Arial"/>
          <w:color w:val="000000" w:themeColor="text1"/>
          <w:sz w:val="20"/>
          <w:szCs w:val="20"/>
        </w:rPr>
        <w:t xml:space="preserve"> </w:t>
      </w:r>
    </w:p>
    <w:p w14:paraId="609BDF7D" w14:textId="4CFD5938" w:rsidR="005321BA" w:rsidRPr="004A2599" w:rsidRDefault="513EC8B0" w:rsidP="513EC8B0">
      <w:pPr>
        <w:spacing w:after="0" w:line="240" w:lineRule="auto"/>
        <w:jc w:val="center"/>
        <w:rPr>
          <w:rFonts w:eastAsia="Arial" w:cs="Arial"/>
          <w:color w:val="000000" w:themeColor="text1"/>
          <w:sz w:val="20"/>
          <w:szCs w:val="20"/>
        </w:rPr>
      </w:pPr>
      <w:r w:rsidRPr="008800C6">
        <w:rPr>
          <w:rFonts w:eastAsia="Arial" w:cs="Arial"/>
          <w:b/>
          <w:bCs/>
          <w:color w:val="000000" w:themeColor="text1"/>
          <w:sz w:val="20"/>
          <w:szCs w:val="20"/>
          <w:vertAlign w:val="superscript"/>
        </w:rPr>
        <w:t>2</w:t>
      </w:r>
      <w:r w:rsidRPr="513EC8B0">
        <w:rPr>
          <w:rFonts w:eastAsia="Arial" w:cs="Arial"/>
          <w:color w:val="000000" w:themeColor="text1"/>
          <w:sz w:val="20"/>
          <w:szCs w:val="20"/>
        </w:rPr>
        <w:t>Conception Elementary School</w:t>
      </w:r>
    </w:p>
    <w:p w14:paraId="10395EA7" w14:textId="530F1C67" w:rsidR="513EC8B0" w:rsidRDefault="513EC8B0" w:rsidP="513EC8B0">
      <w:pPr>
        <w:spacing w:after="0" w:line="240" w:lineRule="auto"/>
        <w:jc w:val="center"/>
      </w:pPr>
      <w:r w:rsidRPr="513EC8B0">
        <w:rPr>
          <w:rFonts w:eastAsia="Arial" w:cs="Arial"/>
          <w:color w:val="000000" w:themeColor="text1"/>
          <w:sz w:val="20"/>
          <w:szCs w:val="20"/>
        </w:rPr>
        <w:t>Department of Education, San Miguel District, Zamboanga del Sur</w:t>
      </w:r>
    </w:p>
    <w:p w14:paraId="6CA0AC36" w14:textId="6504B69B" w:rsidR="513EC8B0" w:rsidRDefault="513EC8B0" w:rsidP="513EC8B0">
      <w:pPr>
        <w:spacing w:after="0" w:line="240" w:lineRule="auto"/>
        <w:jc w:val="center"/>
        <w:rPr>
          <w:rFonts w:eastAsia="Arial" w:cs="Arial"/>
          <w:color w:val="000000" w:themeColor="text1"/>
          <w:sz w:val="20"/>
          <w:szCs w:val="20"/>
        </w:rPr>
      </w:pPr>
    </w:p>
    <w:p w14:paraId="167B04C0" w14:textId="7D2879D8" w:rsidR="513EC8B0" w:rsidRDefault="513EC8B0" w:rsidP="513EC8B0">
      <w:pPr>
        <w:spacing w:after="0" w:line="240" w:lineRule="auto"/>
        <w:jc w:val="center"/>
      </w:pPr>
      <w:r w:rsidRPr="008800C6">
        <w:rPr>
          <w:rFonts w:eastAsia="Arial" w:cs="Arial"/>
          <w:b/>
          <w:bCs/>
          <w:color w:val="000000" w:themeColor="text1"/>
          <w:sz w:val="20"/>
          <w:szCs w:val="20"/>
          <w:vertAlign w:val="superscript"/>
        </w:rPr>
        <w:t>3</w:t>
      </w:r>
      <w:r w:rsidRPr="513EC8B0">
        <w:rPr>
          <w:rFonts w:eastAsia="Arial" w:cs="Arial"/>
          <w:color w:val="000000" w:themeColor="text1"/>
          <w:sz w:val="20"/>
          <w:szCs w:val="20"/>
        </w:rPr>
        <w:t>Alternative Learning System, DepEd Zamboanga del Sur Division</w:t>
      </w:r>
    </w:p>
    <w:p w14:paraId="01FD54BB" w14:textId="4030E262" w:rsidR="513EC8B0" w:rsidRDefault="513EC8B0" w:rsidP="513EC8B0">
      <w:pPr>
        <w:spacing w:after="0" w:line="240" w:lineRule="auto"/>
        <w:jc w:val="center"/>
        <w:rPr>
          <w:rFonts w:eastAsia="Arial" w:cs="Arial"/>
          <w:color w:val="000000" w:themeColor="text1"/>
          <w:sz w:val="20"/>
          <w:szCs w:val="20"/>
        </w:rPr>
      </w:pPr>
    </w:p>
    <w:p w14:paraId="524C3390" w14:textId="77777777" w:rsidR="005321BA" w:rsidRPr="004A2599" w:rsidRDefault="513EC8B0" w:rsidP="513EC8B0">
      <w:pPr>
        <w:pStyle w:val="Heading1"/>
        <w:keepNext w:val="0"/>
        <w:keepLines w:val="0"/>
        <w:spacing w:before="0" w:line="240" w:lineRule="auto"/>
        <w:rPr>
          <w:rFonts w:ascii="Arial" w:hAnsi="Arial" w:cs="Arial"/>
          <w:color w:val="000000" w:themeColor="text1"/>
          <w:sz w:val="20"/>
          <w:szCs w:val="20"/>
        </w:rPr>
      </w:pPr>
      <w:r w:rsidRPr="513EC8B0">
        <w:rPr>
          <w:rFonts w:ascii="Arial" w:hAnsi="Arial" w:cs="Arial"/>
          <w:color w:val="000000" w:themeColor="text1"/>
          <w:sz w:val="20"/>
          <w:szCs w:val="20"/>
        </w:rPr>
        <w:t>Abstract</w:t>
      </w:r>
    </w:p>
    <w:p w14:paraId="5062EC9C" w14:textId="4EC681EB" w:rsidR="005321BA" w:rsidRPr="004A2599" w:rsidRDefault="23AB6312" w:rsidP="23AB6312">
      <w:pPr>
        <w:ind w:left="720" w:right="558" w:firstLine="720"/>
        <w:jc w:val="both"/>
        <w:rPr>
          <w:rFonts w:cs="Arial"/>
          <w:color w:val="000000" w:themeColor="text1"/>
          <w:sz w:val="20"/>
          <w:szCs w:val="20"/>
        </w:rPr>
      </w:pPr>
      <w:r w:rsidRPr="23AB6312">
        <w:rPr>
          <w:rFonts w:cs="Arial"/>
          <w:color w:val="000000" w:themeColor="text1"/>
          <w:sz w:val="20"/>
          <w:szCs w:val="20"/>
        </w:rPr>
        <w:t xml:space="preserve">The Alternative Learning System (ALS) provides a parallel pathway to basic education for out-of-school children in special cases and adults whose circumstances limit participation in formal schooling. This study examined patterns of participation and progression in the ALS program of San Miguel District, Schools Division of Zamboanga del Sur, to establish an empirical basis for responsive educational extension initiatives. Using a descriptive documentary analysis, available administrative records on enrollment, completion, and passing outcomes were examined across school years, together with information on existing learner assessment and curricular structures. Results showed that Junior High School (JHS) consistently constituted the largest proportion of recorded ALS enrollment, with 151, 121, 125, and 70 learners from SY 2022–2023 to SY 2025–2026, respectively. Basic </w:t>
      </w:r>
      <w:r w:rsidRPr="23AB6312">
        <w:rPr>
          <w:rFonts w:eastAsia="Arial" w:cs="Arial"/>
          <w:sz w:val="20"/>
          <w:szCs w:val="20"/>
        </w:rPr>
        <w:t>literacy program</w:t>
      </w:r>
      <w:r w:rsidRPr="23AB6312">
        <w:rPr>
          <w:rFonts w:cs="Arial"/>
          <w:color w:val="000000" w:themeColor="text1"/>
          <w:sz w:val="20"/>
          <w:szCs w:val="20"/>
        </w:rPr>
        <w:t xml:space="preserve"> enrollment during the same periods was 6, 2, 4, and 1, while </w:t>
      </w:r>
      <w:r w:rsidRPr="23AB6312">
        <w:rPr>
          <w:rFonts w:eastAsia="Arial" w:cs="Arial"/>
          <w:sz w:val="20"/>
          <w:szCs w:val="20"/>
        </w:rPr>
        <w:t>elementary</w:t>
      </w:r>
      <w:r w:rsidRPr="23AB6312">
        <w:rPr>
          <w:rFonts w:cs="Arial"/>
          <w:color w:val="000000" w:themeColor="text1"/>
          <w:sz w:val="20"/>
          <w:szCs w:val="20"/>
        </w:rPr>
        <w:t xml:space="preserve"> enrollment was 12, 8, 12, and 0. Among JHS learners, 34, 44, and 41 were recorded as completers from SY 2022–2023 to SY 2024–2025, while 34, 44, and 35 were recorded as passers. The available records therefore indicate a persistent difference between the number of learners enrolled and those subsequently recorded as completers. However, the documentary evidence does not establish the reasons for this pattern, and inconsistencies between enrollment-based calculations and the completion percentages reported in the source records require clarification of the denominators used. The findings underscore the importance of distinguishing access, participation, progression, completion, and assessment of performance when examining ALS outcomes. They further demonstrate the need to supplement administrative records with learner-level needs assessment before designing interventions. Consistent with Sustainable Development Goal 4 and the Philippine Alternative Learning System Act, the study recommends evidence-informed, contextualized, and differentiated learning support that builds upon existing ALS assessment processes and learning modules. The baseline provides a foundation for the development, targeting, monitoring, and evaluation of community-based educational extension initiatives for ALS learners in San Miguel District.</w:t>
      </w:r>
    </w:p>
    <w:p w14:paraId="0DE17A54" w14:textId="77777777" w:rsidR="00776C5B" w:rsidRPr="004A2599" w:rsidRDefault="00776C5B" w:rsidP="00776C5B">
      <w:pPr>
        <w:ind w:left="720" w:right="558" w:firstLine="720"/>
        <w:jc w:val="both"/>
        <w:rPr>
          <w:rFonts w:cs="Arial"/>
          <w:color w:val="000000" w:themeColor="text1"/>
          <w:sz w:val="20"/>
          <w:szCs w:val="20"/>
        </w:rPr>
      </w:pPr>
    </w:p>
    <w:p w14:paraId="7465ED9F" w14:textId="350F2C64" w:rsidR="00776C5B" w:rsidRPr="004A2599" w:rsidRDefault="23AB6312" w:rsidP="00776C5B">
      <w:pPr>
        <w:ind w:left="720" w:right="558"/>
        <w:jc w:val="both"/>
        <w:rPr>
          <w:rFonts w:cs="Arial"/>
          <w:color w:val="000000" w:themeColor="text1"/>
          <w:sz w:val="20"/>
          <w:szCs w:val="20"/>
        </w:rPr>
      </w:pPr>
      <w:r w:rsidRPr="23AB6312">
        <w:rPr>
          <w:rFonts w:cs="Arial"/>
          <w:i/>
          <w:iCs/>
          <w:color w:val="000000" w:themeColor="text1"/>
          <w:sz w:val="20"/>
          <w:szCs w:val="20"/>
        </w:rPr>
        <w:t>Keywords:</w:t>
      </w:r>
      <w:r w:rsidRPr="23AB6312">
        <w:rPr>
          <w:rFonts w:cs="Arial"/>
          <w:color w:val="000000" w:themeColor="text1"/>
          <w:sz w:val="20"/>
          <w:szCs w:val="20"/>
        </w:rPr>
        <w:t xml:space="preserve"> Alternative Learning System, educational access, learner </w:t>
      </w:r>
      <w:proofErr w:type="gramStart"/>
      <w:r w:rsidRPr="23AB6312">
        <w:rPr>
          <w:rFonts w:cs="Arial"/>
          <w:color w:val="000000" w:themeColor="text1"/>
          <w:sz w:val="20"/>
          <w:szCs w:val="20"/>
        </w:rPr>
        <w:t xml:space="preserve">progression,   </w:t>
      </w:r>
      <w:proofErr w:type="gramEnd"/>
      <w:r w:rsidRPr="23AB6312">
        <w:rPr>
          <w:rFonts w:cs="Arial"/>
          <w:color w:val="000000" w:themeColor="text1"/>
          <w:sz w:val="20"/>
          <w:szCs w:val="20"/>
        </w:rPr>
        <w:t xml:space="preserve">         </w:t>
      </w:r>
      <w:r w:rsidR="00776C5B">
        <w:br/>
      </w:r>
      <w:r w:rsidRPr="23AB6312">
        <w:rPr>
          <w:rFonts w:cs="Arial"/>
          <w:color w:val="000000" w:themeColor="text1"/>
          <w:sz w:val="20"/>
          <w:szCs w:val="20"/>
        </w:rPr>
        <w:t xml:space="preserve">                    lifelong learning, documentary analysis, extension education</w:t>
      </w:r>
    </w:p>
    <w:p w14:paraId="7E1BF994" w14:textId="77777777" w:rsidR="005321BA" w:rsidRPr="004A2599" w:rsidRDefault="00234A3E">
      <w:pPr>
        <w:pStyle w:val="Heading1"/>
        <w:rPr>
          <w:rFonts w:ascii="Arial" w:hAnsi="Arial" w:cs="Arial"/>
          <w:color w:val="000000" w:themeColor="text1"/>
          <w:sz w:val="20"/>
          <w:szCs w:val="20"/>
        </w:rPr>
      </w:pPr>
      <w:r w:rsidRPr="004A2599">
        <w:rPr>
          <w:rFonts w:ascii="Arial" w:hAnsi="Arial" w:cs="Arial"/>
          <w:color w:val="000000" w:themeColor="text1"/>
          <w:sz w:val="20"/>
          <w:szCs w:val="20"/>
        </w:rPr>
        <w:t>1. Introduction</w:t>
      </w:r>
    </w:p>
    <w:p w14:paraId="44F56D88" w14:textId="71B3D6B6" w:rsidR="00776C5B" w:rsidRPr="004A2599" w:rsidRDefault="513EC8B0" w:rsidP="00776C5B">
      <w:pPr>
        <w:ind w:firstLine="720"/>
        <w:jc w:val="both"/>
        <w:rPr>
          <w:rFonts w:cs="Arial"/>
          <w:color w:val="000000" w:themeColor="text1"/>
          <w:sz w:val="20"/>
          <w:szCs w:val="20"/>
        </w:rPr>
      </w:pPr>
      <w:r w:rsidRPr="513EC8B0">
        <w:rPr>
          <w:rFonts w:cs="Arial"/>
          <w:color w:val="000000" w:themeColor="text1"/>
          <w:sz w:val="20"/>
          <w:szCs w:val="20"/>
        </w:rPr>
        <w:t xml:space="preserve">Education systems committed to inclusion must provide meaningful learning opportunities not only for learners who successfully remain within conventional schooling but also for those whose circumstances require alternative educational pathways. This principle is reflected in Sustainable Development Goal 4 (SDG 4), which seeks to ensure inclusive and equitable quality education and promote lifelong learning opportunities for all. Target 4.6 emphasizes literacy and numeracy among youth and adults (United Nations, 2015).  </w:t>
      </w:r>
    </w:p>
    <w:p w14:paraId="0BDA404C" w14:textId="208FCC37" w:rsidR="00776C5B" w:rsidRPr="004A2599" w:rsidRDefault="00461BA3" w:rsidP="00776C5B">
      <w:pPr>
        <w:ind w:firstLine="720"/>
        <w:jc w:val="both"/>
        <w:rPr>
          <w:rFonts w:cs="Arial"/>
          <w:color w:val="000000" w:themeColor="text1"/>
          <w:sz w:val="20"/>
          <w:szCs w:val="20"/>
        </w:rPr>
      </w:pPr>
      <w:r w:rsidRPr="00461BA3">
        <w:rPr>
          <w:rFonts w:cs="Arial"/>
          <w:color w:val="000000" w:themeColor="text1"/>
          <w:sz w:val="20"/>
          <w:szCs w:val="20"/>
        </w:rPr>
        <w:t>In the Philippines, this commitment is institutionalized through the Alternative Learning System (ALS). Republic Act No. 11510, or the Alternative Learning System Act, institutionalized ALS in basic education and strengthened the provision of alternative educational pathways for out-of-school children in special cases and adults (Republic Act No. 11510, 2020).</w:t>
      </w:r>
      <w:r w:rsidR="00776C5B" w:rsidRPr="004A2599">
        <w:rPr>
          <w:rFonts w:cs="Arial"/>
          <w:color w:val="000000" w:themeColor="text1"/>
          <w:sz w:val="20"/>
          <w:szCs w:val="20"/>
        </w:rPr>
        <w:t xml:space="preserve"> The law emphasizes equitable access, flexible and appropriate alternative basic education, lifelong learning, and instructional approaches responsive to learners’ needs and circumstances. It likewise recognizes the importance of partnerships and collaboration in expanding educational opportunities for populations not adequately reached by formal schooling.  </w:t>
      </w:r>
    </w:p>
    <w:p w14:paraId="37F0407B" w14:textId="5890BB20" w:rsidR="00776C5B" w:rsidRPr="004A2599" w:rsidRDefault="00540F54" w:rsidP="00776C5B">
      <w:pPr>
        <w:ind w:firstLine="720"/>
        <w:jc w:val="both"/>
        <w:rPr>
          <w:rFonts w:cs="Arial"/>
          <w:color w:val="000000" w:themeColor="text1"/>
          <w:sz w:val="20"/>
          <w:szCs w:val="20"/>
        </w:rPr>
      </w:pPr>
      <w:r w:rsidRPr="00540F54">
        <w:rPr>
          <w:rFonts w:cs="Arial"/>
          <w:color w:val="000000" w:themeColor="text1"/>
          <w:sz w:val="20"/>
          <w:szCs w:val="20"/>
        </w:rPr>
        <w:t>The contemporary ALS framework extends beyond providing learners with a second opportunity to obtain basic education credentials. Under ALS 2.0, the Alternative Learning System is envisioned as a quality and relevant second-chance basic education program responsive to the diverse circumstances and learning needs of its clientele. The enhanced ALS K to 12 Basic Education Curriculum recognizes learners’ prior learning and provides learning opportunities across interconnected learning strands that address communication, scientific literacy and critical thinking, mathematical and problem-solving skills, life and career skills, understanding the self and society, and digital citizenship (Department of Education [DepEd], 2022).</w:t>
      </w:r>
    </w:p>
    <w:p w14:paraId="247DB4F3" w14:textId="762103D5" w:rsidR="00776C5B" w:rsidRPr="004A2599" w:rsidRDefault="23AB6312" w:rsidP="23AB6312">
      <w:pPr>
        <w:ind w:firstLine="720"/>
        <w:jc w:val="both"/>
        <w:rPr>
          <w:rFonts w:cs="Arial"/>
          <w:color w:val="000000" w:themeColor="text1"/>
          <w:sz w:val="20"/>
          <w:szCs w:val="20"/>
        </w:rPr>
      </w:pPr>
      <w:r w:rsidRPr="23AB6312">
        <w:rPr>
          <w:rFonts w:cs="Arial"/>
          <w:color w:val="000000" w:themeColor="text1"/>
          <w:sz w:val="20"/>
          <w:szCs w:val="20"/>
        </w:rPr>
        <w:t xml:space="preserve">The flexibility that makes ALS responsive to diverse learners also means that participation and progression must be understood within the realities of learners’ lives. Philippine studies have documented that learners entering or participating in ALS may encounter interconnected family, financial, personal, accessibility, employment, and learning-related challenges. Alvarez (2024), for example, identified family circumstances, personal conflicts, financial concerns, and accessibility as important experiences associated with learners’ departure from formal education before entering ALS. Research on ALS discontinuation has likewise examined the multiple circumstances that may affect continued </w:t>
      </w:r>
      <w:r w:rsidRPr="23AB6312">
        <w:rPr>
          <w:rFonts w:eastAsia="Arial" w:cs="Arial"/>
          <w:sz w:val="20"/>
          <w:szCs w:val="20"/>
        </w:rPr>
        <w:t xml:space="preserve">participation. </w:t>
      </w:r>
      <w:r w:rsidRPr="23AB6312">
        <w:rPr>
          <w:rFonts w:cs="Arial"/>
          <w:color w:val="000000" w:themeColor="text1"/>
          <w:sz w:val="20"/>
          <w:szCs w:val="20"/>
        </w:rPr>
        <w:t xml:space="preserve">More recent research has drawn attention to the challenges of balancing employment and learning among ALS participants, further illustrating why educational engagement cannot be understood solely through academic performance.  </w:t>
      </w:r>
    </w:p>
    <w:p w14:paraId="09949BE1" w14:textId="1732EF92"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Accessibility is particularly relevant to community-based alternative education. ALS teachers may travel across learning venues and provide differentiated activities in response to learners’ varied interests and capabilities, while initiatives supporting ALS have incorporated learning centers and transportation assistance as mechanisms for reducing barriers to participation.</w:t>
      </w:r>
      <w:r w:rsidR="00804913">
        <w:rPr>
          <w:rFonts w:cs="Arial"/>
          <w:color w:val="000000" w:themeColor="text1"/>
          <w:sz w:val="20"/>
          <w:szCs w:val="20"/>
        </w:rPr>
        <w:t xml:space="preserve"> </w:t>
      </w:r>
      <w:r w:rsidRPr="004A2599">
        <w:rPr>
          <w:rFonts w:cs="Arial"/>
          <w:color w:val="000000" w:themeColor="text1"/>
          <w:sz w:val="20"/>
          <w:szCs w:val="20"/>
        </w:rPr>
        <w:t xml:space="preserve">These experiences reinforce the importance of designing interventions around the circumstances of a particular learner population rather than </w:t>
      </w:r>
      <w:r w:rsidR="003B0E45" w:rsidRPr="004A2599">
        <w:rPr>
          <w:rFonts w:cs="Arial"/>
          <w:color w:val="000000" w:themeColor="text1"/>
          <w:sz w:val="20"/>
          <w:szCs w:val="20"/>
        </w:rPr>
        <w:t>if</w:t>
      </w:r>
      <w:r w:rsidRPr="004A2599">
        <w:rPr>
          <w:rFonts w:cs="Arial"/>
          <w:color w:val="000000" w:themeColor="text1"/>
          <w:sz w:val="20"/>
          <w:szCs w:val="20"/>
        </w:rPr>
        <w:t xml:space="preserve"> a uniform educational response will address all barriers.</w:t>
      </w:r>
    </w:p>
    <w:p w14:paraId="41BF6CD5" w14:textId="5AA880C3"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At the same time, evidence concerning ALS participation must be interpreted carefully. Enrollment indicates entry into the program, but it is not equivalent to sustained participation, competency development, completion, or successful assessment. Similarly, passing an assessment among learners who reach that stage does not necessarily describe what occurs among all learners initially enrolled. Examining these stages separately can provide a more useful basis for identifying where additional support may be required.</w:t>
      </w:r>
    </w:p>
    <w:p w14:paraId="23DB4752" w14:textId="4FD9163A" w:rsidR="00776C5B" w:rsidRPr="004A2599" w:rsidRDefault="23AB6312" w:rsidP="00776C5B">
      <w:pPr>
        <w:ind w:firstLine="720"/>
        <w:jc w:val="both"/>
        <w:rPr>
          <w:rFonts w:cs="Arial"/>
          <w:color w:val="000000" w:themeColor="text1"/>
          <w:sz w:val="20"/>
          <w:szCs w:val="20"/>
        </w:rPr>
      </w:pPr>
      <w:r w:rsidRPr="23AB6312">
        <w:rPr>
          <w:rFonts w:cs="Arial"/>
          <w:color w:val="000000" w:themeColor="text1"/>
          <w:sz w:val="20"/>
          <w:szCs w:val="20"/>
        </w:rPr>
        <w:t>In San Miguel District, Schools Division of Zamboanga del Sur, ALS administrative records provide an opportunity to examine these patterns at the local level. The available records contain information on enrollment across the Basic Literacy Program (BLP), Elementary, and Junior High School (JHS) levels, together with completion and pass information for JHS learners. Although these records cannot explain individual learner experiences, they provide an important starting point for determining the scale and pattern of participation and identifying questions requiring further investigation.</w:t>
      </w:r>
    </w:p>
    <w:p w14:paraId="7E841C57" w14:textId="2E4BE903" w:rsidR="005321BA"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Accordingly, this study undertook a baseline documentary analysis of ALS participation and progression in San Miguel District. Rather than presuming the causes of non-completion or prescribing an intervention in advance, the analysis examines what the available records can establish, identifies limitations and evidence gaps, and considers their implications for subsequent needs assessment and educational extension programming. In this way, the study supports an evidence-to-intervention approach consistent with the broader objective of ALS and SDG 4: expanding meaningful opportunities for learners to continue learning and progress toward their educational goals.</w:t>
      </w:r>
    </w:p>
    <w:p w14:paraId="2D402CAB" w14:textId="77777777" w:rsidR="005321BA" w:rsidRPr="004A2599" w:rsidRDefault="00234A3E">
      <w:pPr>
        <w:pStyle w:val="Heading1"/>
        <w:rPr>
          <w:rFonts w:ascii="Arial" w:hAnsi="Arial" w:cs="Arial"/>
          <w:color w:val="000000" w:themeColor="text1"/>
          <w:sz w:val="20"/>
          <w:szCs w:val="20"/>
        </w:rPr>
      </w:pPr>
      <w:r w:rsidRPr="004A2599">
        <w:rPr>
          <w:rFonts w:ascii="Arial" w:hAnsi="Arial" w:cs="Arial"/>
          <w:color w:val="000000" w:themeColor="text1"/>
          <w:sz w:val="20"/>
          <w:szCs w:val="20"/>
        </w:rPr>
        <w:t>2. Objectives of the Baseline Analysis</w:t>
      </w:r>
    </w:p>
    <w:p w14:paraId="4AD1CE6B" w14:textId="77777777" w:rsidR="00776C5B" w:rsidRPr="004A2599" w:rsidRDefault="00776C5B" w:rsidP="00776C5B">
      <w:pPr>
        <w:pStyle w:val="ListNumber"/>
        <w:numPr>
          <w:ilvl w:val="0"/>
          <w:numId w:val="0"/>
        </w:numPr>
        <w:ind w:firstLine="720"/>
        <w:jc w:val="both"/>
        <w:rPr>
          <w:rFonts w:cs="Arial"/>
          <w:color w:val="000000" w:themeColor="text1"/>
          <w:sz w:val="20"/>
          <w:szCs w:val="20"/>
        </w:rPr>
      </w:pPr>
      <w:r w:rsidRPr="004A2599">
        <w:rPr>
          <w:rFonts w:cs="Arial"/>
          <w:color w:val="000000" w:themeColor="text1"/>
          <w:sz w:val="20"/>
          <w:szCs w:val="20"/>
        </w:rPr>
        <w:t>The study generally aimed to examine patterns of participation and progression in the Alternative Learning System of San Miguel District as a baseline for evidence-informed educational extension initiatives.</w:t>
      </w:r>
    </w:p>
    <w:p w14:paraId="1DA5FF0E" w14:textId="77777777" w:rsidR="00776C5B" w:rsidRPr="004A2599" w:rsidRDefault="00776C5B" w:rsidP="00776C5B">
      <w:pPr>
        <w:pStyle w:val="ListNumber"/>
        <w:numPr>
          <w:ilvl w:val="0"/>
          <w:numId w:val="0"/>
        </w:numPr>
        <w:ind w:left="360" w:hanging="360"/>
        <w:rPr>
          <w:rFonts w:cs="Arial"/>
          <w:color w:val="000000" w:themeColor="text1"/>
          <w:sz w:val="20"/>
          <w:szCs w:val="20"/>
        </w:rPr>
      </w:pPr>
    </w:p>
    <w:p w14:paraId="1658D4E4" w14:textId="6EED38B9" w:rsidR="00776C5B" w:rsidRPr="004A2599" w:rsidRDefault="00776C5B" w:rsidP="003B0E45">
      <w:pPr>
        <w:pStyle w:val="ListNumber"/>
        <w:numPr>
          <w:ilvl w:val="0"/>
          <w:numId w:val="0"/>
        </w:numPr>
        <w:ind w:left="1080" w:hanging="360"/>
        <w:rPr>
          <w:rFonts w:cs="Arial"/>
          <w:color w:val="000000" w:themeColor="text1"/>
          <w:sz w:val="20"/>
          <w:szCs w:val="20"/>
        </w:rPr>
      </w:pPr>
      <w:r w:rsidRPr="004A2599">
        <w:rPr>
          <w:rFonts w:cs="Arial"/>
          <w:color w:val="000000" w:themeColor="text1"/>
          <w:sz w:val="20"/>
          <w:szCs w:val="20"/>
        </w:rPr>
        <w:t>Specifically, it sought to:</w:t>
      </w:r>
    </w:p>
    <w:p w14:paraId="68EBFB07" w14:textId="77777777" w:rsidR="00776C5B" w:rsidRPr="004A2599" w:rsidRDefault="00776C5B" w:rsidP="003B0E45">
      <w:pPr>
        <w:pStyle w:val="ListNumber"/>
        <w:numPr>
          <w:ilvl w:val="0"/>
          <w:numId w:val="0"/>
        </w:numPr>
        <w:ind w:left="1080"/>
        <w:rPr>
          <w:rFonts w:cs="Arial"/>
          <w:color w:val="000000" w:themeColor="text1"/>
          <w:sz w:val="20"/>
          <w:szCs w:val="20"/>
        </w:rPr>
      </w:pPr>
    </w:p>
    <w:p w14:paraId="400A3155" w14:textId="4587D8F9" w:rsidR="00776C5B" w:rsidRPr="004A2599" w:rsidRDefault="23AB6312" w:rsidP="003B0E45">
      <w:pPr>
        <w:pStyle w:val="ListNumber"/>
        <w:ind w:left="1080"/>
        <w:rPr>
          <w:rFonts w:cs="Arial"/>
          <w:color w:val="000000" w:themeColor="text1"/>
          <w:sz w:val="20"/>
          <w:szCs w:val="20"/>
        </w:rPr>
      </w:pPr>
      <w:r w:rsidRPr="23AB6312">
        <w:rPr>
          <w:rFonts w:cs="Arial"/>
          <w:color w:val="000000" w:themeColor="text1"/>
          <w:sz w:val="20"/>
          <w:szCs w:val="20"/>
        </w:rPr>
        <w:t>describe ALS enrollment patterns in San Miguel District according to program level and school year;</w:t>
      </w:r>
    </w:p>
    <w:p w14:paraId="62135208" w14:textId="30A2EA97" w:rsidR="00776C5B" w:rsidRPr="004A2599" w:rsidRDefault="23AB6312" w:rsidP="003B0E45">
      <w:pPr>
        <w:pStyle w:val="ListNumber"/>
        <w:ind w:left="1080"/>
        <w:rPr>
          <w:rFonts w:cs="Arial"/>
          <w:color w:val="000000" w:themeColor="text1"/>
          <w:sz w:val="20"/>
          <w:szCs w:val="20"/>
        </w:rPr>
      </w:pPr>
      <w:r w:rsidRPr="23AB6312">
        <w:rPr>
          <w:rFonts w:cs="Arial"/>
          <w:color w:val="000000" w:themeColor="text1"/>
          <w:sz w:val="20"/>
          <w:szCs w:val="20"/>
        </w:rPr>
        <w:t xml:space="preserve">examine available </w:t>
      </w:r>
      <w:r w:rsidRPr="23AB6312">
        <w:t>junior high school</w:t>
      </w:r>
      <w:r w:rsidRPr="23AB6312">
        <w:rPr>
          <w:rFonts w:cs="Arial"/>
          <w:color w:val="000000" w:themeColor="text1"/>
          <w:sz w:val="20"/>
          <w:szCs w:val="20"/>
        </w:rPr>
        <w:t xml:space="preserve"> completion and passer records;</w:t>
      </w:r>
    </w:p>
    <w:p w14:paraId="1A3EFA0A" w14:textId="20765C58" w:rsidR="00776C5B" w:rsidRPr="004A2599" w:rsidRDefault="23AB6312" w:rsidP="003B0E45">
      <w:pPr>
        <w:pStyle w:val="ListNumber"/>
        <w:ind w:left="1080"/>
        <w:rPr>
          <w:rFonts w:cs="Arial"/>
          <w:color w:val="000000" w:themeColor="text1"/>
          <w:sz w:val="20"/>
          <w:szCs w:val="20"/>
        </w:rPr>
      </w:pPr>
      <w:r w:rsidRPr="23AB6312">
        <w:rPr>
          <w:rFonts w:cs="Arial"/>
          <w:color w:val="000000" w:themeColor="text1"/>
          <w:sz w:val="20"/>
          <w:szCs w:val="20"/>
        </w:rPr>
        <w:t>describe the relationship among recorded enrollment, completion, and assessment outcomes based on the available administrative data;</w:t>
      </w:r>
    </w:p>
    <w:p w14:paraId="357FB488" w14:textId="77777777" w:rsidR="00776C5B" w:rsidRPr="004A2599" w:rsidRDefault="23AB6312" w:rsidP="003B0E45">
      <w:pPr>
        <w:pStyle w:val="ListNumber"/>
        <w:ind w:left="1080"/>
        <w:rPr>
          <w:rFonts w:cs="Arial"/>
          <w:color w:val="000000" w:themeColor="text1"/>
          <w:sz w:val="20"/>
          <w:szCs w:val="20"/>
        </w:rPr>
      </w:pPr>
      <w:r w:rsidRPr="23AB6312">
        <w:rPr>
          <w:rFonts w:cs="Arial"/>
          <w:color w:val="000000" w:themeColor="text1"/>
          <w:sz w:val="20"/>
          <w:szCs w:val="20"/>
        </w:rPr>
        <w:t>identify limitations and information gaps in the existing records that require further learner-level assessment; and</w:t>
      </w:r>
    </w:p>
    <w:p w14:paraId="10E8BE6E" w14:textId="75F790EC" w:rsidR="005321BA" w:rsidRPr="004A2599" w:rsidRDefault="23AB6312" w:rsidP="003B0E45">
      <w:pPr>
        <w:pStyle w:val="ListNumber"/>
        <w:ind w:left="1080"/>
        <w:rPr>
          <w:rFonts w:cs="Arial"/>
          <w:color w:val="000000" w:themeColor="text1"/>
          <w:sz w:val="20"/>
          <w:szCs w:val="20"/>
        </w:rPr>
      </w:pPr>
      <w:r w:rsidRPr="23AB6312">
        <w:rPr>
          <w:rFonts w:cs="Arial"/>
          <w:color w:val="000000" w:themeColor="text1"/>
          <w:sz w:val="20"/>
          <w:szCs w:val="20"/>
        </w:rPr>
        <w:t>derive evidence-informed implications for the design, targeting, monitoring, and evaluation of educational extension initiatives for ALS learners.</w:t>
      </w:r>
    </w:p>
    <w:p w14:paraId="4BDE2986" w14:textId="77777777" w:rsidR="005321BA" w:rsidRPr="004A2599" w:rsidRDefault="00234A3E">
      <w:pPr>
        <w:pStyle w:val="Heading1"/>
        <w:rPr>
          <w:rFonts w:ascii="Arial" w:hAnsi="Arial" w:cs="Arial"/>
          <w:color w:val="000000" w:themeColor="text1"/>
          <w:sz w:val="20"/>
          <w:szCs w:val="20"/>
        </w:rPr>
      </w:pPr>
      <w:r w:rsidRPr="004A2599">
        <w:rPr>
          <w:rFonts w:ascii="Arial" w:hAnsi="Arial" w:cs="Arial"/>
          <w:color w:val="000000" w:themeColor="text1"/>
          <w:sz w:val="20"/>
          <w:szCs w:val="20"/>
        </w:rPr>
        <w:t>3. Methodology</w:t>
      </w:r>
    </w:p>
    <w:p w14:paraId="24EBCFED" w14:textId="77777777" w:rsidR="005321BA" w:rsidRPr="003B0E45" w:rsidRDefault="00234A3E">
      <w:pPr>
        <w:pStyle w:val="Heading2"/>
        <w:rPr>
          <w:rFonts w:ascii="Arial" w:hAnsi="Arial" w:cs="Arial"/>
          <w:i/>
          <w:iCs/>
          <w:color w:val="000000" w:themeColor="text1"/>
          <w:sz w:val="20"/>
          <w:szCs w:val="20"/>
        </w:rPr>
      </w:pPr>
      <w:r w:rsidRPr="003B0E45">
        <w:rPr>
          <w:rFonts w:ascii="Arial" w:hAnsi="Arial" w:cs="Arial"/>
          <w:i/>
          <w:iCs/>
          <w:color w:val="000000" w:themeColor="text1"/>
          <w:sz w:val="20"/>
          <w:szCs w:val="20"/>
        </w:rPr>
        <w:t>3.1 Research Design</w:t>
      </w:r>
    </w:p>
    <w:p w14:paraId="06258715" w14:textId="6D8E7104" w:rsidR="00461BA3" w:rsidRPr="00461BA3" w:rsidRDefault="23AB6312" w:rsidP="23AB6312">
      <w:pPr>
        <w:ind w:firstLine="720"/>
        <w:jc w:val="both"/>
        <w:rPr>
          <w:rFonts w:cs="Arial"/>
          <w:color w:val="000000" w:themeColor="text1"/>
          <w:sz w:val="20"/>
          <w:szCs w:val="20"/>
        </w:rPr>
      </w:pPr>
      <w:r w:rsidRPr="23AB6312">
        <w:rPr>
          <w:rFonts w:cs="Arial"/>
          <w:color w:val="000000" w:themeColor="text1"/>
          <w:sz w:val="20"/>
          <w:szCs w:val="20"/>
        </w:rPr>
        <w:t xml:space="preserve">This study employed a descriptive documentary analysis to examine existing administrative records and program information pertaining to Alternative Learning System (ALS) implementation in San Miguel District. Document analysis is a systematic procedure for reviewing and evaluating documents in which data are examined and interpreted to elicit meaning, gain understanding, and develop empirical knowledge (Bowen, 2009). This approach was appropriate because the study sought to establish baseline evidence from existing ALS records before undertaking </w:t>
      </w:r>
      <w:r w:rsidRPr="23AB6312">
        <w:rPr>
          <w:rFonts w:eastAsia="Arial" w:cs="Arial"/>
          <w:sz w:val="20"/>
          <w:szCs w:val="20"/>
        </w:rPr>
        <w:t>a learner-level</w:t>
      </w:r>
      <w:r w:rsidRPr="23AB6312">
        <w:rPr>
          <w:rFonts w:cs="Arial"/>
          <w:color w:val="000000" w:themeColor="text1"/>
          <w:sz w:val="20"/>
          <w:szCs w:val="20"/>
        </w:rPr>
        <w:t xml:space="preserve"> needs assessment or developing an educational </w:t>
      </w:r>
      <w:bookmarkStart w:id="0" w:name="_Int_KQVaTSov"/>
      <w:r w:rsidRPr="23AB6312">
        <w:rPr>
          <w:rFonts w:cs="Arial"/>
          <w:color w:val="000000" w:themeColor="text1"/>
          <w:sz w:val="20"/>
          <w:szCs w:val="20"/>
        </w:rPr>
        <w:t>extension</w:t>
      </w:r>
      <w:bookmarkEnd w:id="0"/>
      <w:r w:rsidRPr="23AB6312">
        <w:rPr>
          <w:rFonts w:cs="Arial"/>
          <w:color w:val="000000" w:themeColor="text1"/>
          <w:sz w:val="20"/>
          <w:szCs w:val="20"/>
        </w:rPr>
        <w:t xml:space="preserve"> intervention.</w:t>
      </w:r>
    </w:p>
    <w:p w14:paraId="05946D33" w14:textId="68BBF436" w:rsidR="005321BA" w:rsidRPr="004A2599" w:rsidRDefault="00461BA3" w:rsidP="00461BA3">
      <w:pPr>
        <w:ind w:firstLine="720"/>
        <w:jc w:val="both"/>
        <w:rPr>
          <w:rFonts w:cs="Arial"/>
          <w:color w:val="000000" w:themeColor="text1"/>
          <w:sz w:val="20"/>
          <w:szCs w:val="20"/>
        </w:rPr>
      </w:pPr>
      <w:r w:rsidRPr="00461BA3">
        <w:rPr>
          <w:rFonts w:cs="Arial"/>
          <w:color w:val="000000" w:themeColor="text1"/>
          <w:sz w:val="20"/>
          <w:szCs w:val="20"/>
        </w:rPr>
        <w:t>The administrative records were treated primarily as sources of descriptive evidence concerning learner participation and progression. Accordingly, the analysis did not attempt to establish causal relationships or infer individual reasons for completion or non-completion from aggregate records. Observed patterns were interpreted only within the limits of the available documentary evidence.</w:t>
      </w:r>
    </w:p>
    <w:p w14:paraId="2A2DF68D" w14:textId="77777777" w:rsidR="005321BA" w:rsidRPr="003B0E45" w:rsidRDefault="00234A3E">
      <w:pPr>
        <w:pStyle w:val="Heading2"/>
        <w:rPr>
          <w:rFonts w:ascii="Arial" w:hAnsi="Arial" w:cs="Arial"/>
          <w:i/>
          <w:iCs/>
          <w:color w:val="000000" w:themeColor="text1"/>
          <w:sz w:val="20"/>
          <w:szCs w:val="20"/>
        </w:rPr>
      </w:pPr>
      <w:r w:rsidRPr="003B0E45">
        <w:rPr>
          <w:rFonts w:ascii="Arial" w:hAnsi="Arial" w:cs="Arial"/>
          <w:i/>
          <w:iCs/>
          <w:color w:val="000000" w:themeColor="text1"/>
          <w:sz w:val="20"/>
          <w:szCs w:val="20"/>
        </w:rPr>
        <w:t>3.2 Data Sources and Scope</w:t>
      </w:r>
    </w:p>
    <w:p w14:paraId="47236ECC" w14:textId="00EBF870"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The primary documentary sources consisted of comparative administrative data provided by the San Miguel District ALS implementers. These records contained enrollment figures for the Basic Literacy Program, Elementary, and Junior High School levels across SY 2022–2023 to SY 2025–2026, as well as available JHS completion and passer data for SY 2022–2023 to SY 2024–2025.</w:t>
      </w:r>
    </w:p>
    <w:p w14:paraId="40583B77" w14:textId="779F4389" w:rsidR="005321BA" w:rsidRPr="004A2599" w:rsidRDefault="23AB6312" w:rsidP="23AB6312">
      <w:pPr>
        <w:ind w:firstLine="720"/>
        <w:jc w:val="both"/>
        <w:rPr>
          <w:rFonts w:cs="Arial"/>
          <w:color w:val="000000" w:themeColor="text1"/>
          <w:sz w:val="20"/>
          <w:szCs w:val="20"/>
        </w:rPr>
      </w:pPr>
      <w:r w:rsidRPr="23AB6312">
        <w:rPr>
          <w:rFonts w:cs="Arial"/>
          <w:color w:val="000000" w:themeColor="text1"/>
          <w:sz w:val="20"/>
          <w:szCs w:val="20"/>
        </w:rPr>
        <w:t xml:space="preserve">Program information concerning the existing </w:t>
      </w:r>
      <w:r w:rsidRPr="23AB6312">
        <w:rPr>
          <w:rFonts w:eastAsia="Arial" w:cs="Arial"/>
          <w:sz w:val="20"/>
          <w:szCs w:val="20"/>
        </w:rPr>
        <w:t>functional literacy</w:t>
      </w:r>
      <w:r w:rsidRPr="23AB6312">
        <w:rPr>
          <w:rFonts w:cs="Arial"/>
          <w:color w:val="000000" w:themeColor="text1"/>
          <w:sz w:val="20"/>
          <w:szCs w:val="20"/>
        </w:rPr>
        <w:t xml:space="preserve"> assessment and learner-classification procedures was also considered to understand how learners are assessed and placed within ALS. In addition, the ALS learning resources available for implementation were reviewed according to their major learning areas: Digital Citizenship, English, Filipino, Life and Career Skills, Math, Science, and Understanding the Life and Society. These correspond broadly to the learning strands of the enhanced ALS K to 12 Basic Education Curriculum, which emphasizes contextualized and flexible learning responsive to learners’ circumstances.</w:t>
      </w:r>
    </w:p>
    <w:p w14:paraId="13EE1F92" w14:textId="77777777" w:rsidR="005321BA" w:rsidRPr="003B0E45" w:rsidRDefault="00234A3E">
      <w:pPr>
        <w:pStyle w:val="Heading2"/>
        <w:rPr>
          <w:rFonts w:ascii="Arial" w:hAnsi="Arial" w:cs="Arial"/>
          <w:i/>
          <w:iCs/>
          <w:color w:val="000000" w:themeColor="text1"/>
          <w:sz w:val="20"/>
          <w:szCs w:val="20"/>
        </w:rPr>
      </w:pPr>
      <w:r w:rsidRPr="003B0E45">
        <w:rPr>
          <w:rFonts w:ascii="Arial" w:hAnsi="Arial" w:cs="Arial"/>
          <w:i/>
          <w:iCs/>
          <w:color w:val="000000" w:themeColor="text1"/>
          <w:sz w:val="20"/>
          <w:szCs w:val="20"/>
        </w:rPr>
        <w:t>3.3 Data Analysis</w:t>
      </w:r>
    </w:p>
    <w:p w14:paraId="7BB9FA05" w14:textId="5B9FA084" w:rsidR="00776C5B" w:rsidRPr="004A2599" w:rsidRDefault="23AB6312" w:rsidP="00776C5B">
      <w:pPr>
        <w:ind w:firstLine="720"/>
        <w:jc w:val="both"/>
        <w:rPr>
          <w:rFonts w:cs="Arial"/>
          <w:color w:val="000000" w:themeColor="text1"/>
          <w:sz w:val="20"/>
          <w:szCs w:val="20"/>
        </w:rPr>
      </w:pPr>
      <w:r w:rsidRPr="23AB6312">
        <w:rPr>
          <w:rFonts w:cs="Arial"/>
          <w:color w:val="000000" w:themeColor="text1"/>
          <w:sz w:val="20"/>
          <w:szCs w:val="20"/>
        </w:rPr>
        <w:t xml:space="preserve">The administrative data were organized by </w:t>
      </w:r>
      <w:bookmarkStart w:id="1" w:name="_Int_Jt0fbpwm"/>
      <w:r w:rsidRPr="23AB6312">
        <w:rPr>
          <w:rFonts w:cs="Arial"/>
          <w:color w:val="000000" w:themeColor="text1"/>
          <w:sz w:val="20"/>
          <w:szCs w:val="20"/>
        </w:rPr>
        <w:t>school</w:t>
      </w:r>
      <w:bookmarkEnd w:id="1"/>
      <w:r w:rsidRPr="23AB6312">
        <w:rPr>
          <w:rFonts w:cs="Arial"/>
          <w:color w:val="000000" w:themeColor="text1"/>
          <w:sz w:val="20"/>
          <w:szCs w:val="20"/>
        </w:rPr>
        <w:t xml:space="preserve"> year and ALS program level. Frequencies and proportions were used to describe enrollment patterns. For JHS, recorded completers and passers were examined alongside enrollment figures to describe the observable progression pattern.</w:t>
      </w:r>
    </w:p>
    <w:p w14:paraId="7168C3E4" w14:textId="15DDD8CC"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Where denominators were explicitly available, descriptive ratios were computed. However, percentages appearing in the original administrative records were not assumed to use total enrollment as their denominator. Where a reported percentage differed from a simple enrollment-based calculation, both were retained and clearly distinguished. This approach prevented the imposition of an unsupported denominator and preserved the integrity of the source records.</w:t>
      </w:r>
    </w:p>
    <w:p w14:paraId="313DE7A0" w14:textId="622D0FC3" w:rsidR="005321BA" w:rsidRPr="004A2599" w:rsidRDefault="23AB6312" w:rsidP="00776C5B">
      <w:pPr>
        <w:ind w:firstLine="720"/>
        <w:jc w:val="both"/>
        <w:rPr>
          <w:rFonts w:cs="Arial"/>
          <w:color w:val="000000" w:themeColor="text1"/>
          <w:sz w:val="20"/>
          <w:szCs w:val="20"/>
        </w:rPr>
      </w:pPr>
      <w:r w:rsidRPr="23AB6312">
        <w:rPr>
          <w:rFonts w:cs="Arial"/>
          <w:color w:val="000000" w:themeColor="text1"/>
          <w:sz w:val="20"/>
          <w:szCs w:val="20"/>
        </w:rPr>
        <w:t>The interpretation followed an enrollment–progression–assessment perspective, distinguishing entry into ALS from recorded completion and subsequent assessment of performance. Findings were subsequently examined for implications for needs assessment and educational extension programming.</w:t>
      </w:r>
    </w:p>
    <w:p w14:paraId="4C38195F" w14:textId="1F322150" w:rsidR="003C54BA" w:rsidRPr="003B0E45" w:rsidRDefault="00234A3E" w:rsidP="003C54BA">
      <w:pPr>
        <w:pStyle w:val="Heading2"/>
        <w:rPr>
          <w:rFonts w:ascii="Arial" w:hAnsi="Arial" w:cs="Arial"/>
          <w:i/>
          <w:iCs/>
          <w:color w:val="000000" w:themeColor="text1"/>
          <w:sz w:val="20"/>
          <w:szCs w:val="20"/>
        </w:rPr>
      </w:pPr>
      <w:r w:rsidRPr="003B0E45">
        <w:rPr>
          <w:rFonts w:ascii="Arial" w:hAnsi="Arial" w:cs="Arial"/>
          <w:i/>
          <w:iCs/>
          <w:color w:val="000000" w:themeColor="text1"/>
          <w:sz w:val="20"/>
          <w:szCs w:val="20"/>
        </w:rPr>
        <w:t>3.4 Ethical and Data-Management Considerations</w:t>
      </w:r>
    </w:p>
    <w:p w14:paraId="081B8B85" w14:textId="383BC59F"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The study analyzed aggregate administrative records and did not involve the disclosure of personally identifiable learner information. Data were used solely to describe program-level patterns. No individual learner’s reason for participation, discontinuation, completion, or performance was inferred from aggregate records.</w:t>
      </w:r>
    </w:p>
    <w:p w14:paraId="4D2C84CE" w14:textId="149B63C8" w:rsidR="00202317"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Any succeeding phase involving direct data collection from learners should observe voluntary participation, informed consent or assent where applicable, confidentiality, and appropriate authorization for access to learner information.</w:t>
      </w:r>
    </w:p>
    <w:p w14:paraId="33A4ECC6" w14:textId="77777777" w:rsidR="005321BA" w:rsidRPr="004A2599" w:rsidRDefault="00234A3E">
      <w:pPr>
        <w:pStyle w:val="Heading1"/>
        <w:rPr>
          <w:rFonts w:ascii="Arial" w:hAnsi="Arial" w:cs="Arial"/>
          <w:color w:val="000000" w:themeColor="text1"/>
          <w:sz w:val="20"/>
          <w:szCs w:val="20"/>
        </w:rPr>
      </w:pPr>
      <w:r w:rsidRPr="004A2599">
        <w:rPr>
          <w:rFonts w:ascii="Arial" w:hAnsi="Arial" w:cs="Arial"/>
          <w:color w:val="000000" w:themeColor="text1"/>
          <w:sz w:val="20"/>
          <w:szCs w:val="20"/>
        </w:rPr>
        <w:t>4. Results and Discussion</w:t>
      </w:r>
    </w:p>
    <w:p w14:paraId="77F965FF" w14:textId="7B5A67EA" w:rsidR="003B0E45" w:rsidRDefault="00234A3E" w:rsidP="000E6F8F">
      <w:pPr>
        <w:pStyle w:val="Heading2"/>
        <w:rPr>
          <w:rFonts w:ascii="Arial" w:hAnsi="Arial" w:cs="Arial"/>
          <w:i/>
          <w:iCs/>
          <w:color w:val="000000" w:themeColor="text1"/>
          <w:sz w:val="20"/>
          <w:szCs w:val="20"/>
        </w:rPr>
      </w:pPr>
      <w:r w:rsidRPr="003B0E45">
        <w:rPr>
          <w:rFonts w:ascii="Arial" w:hAnsi="Arial" w:cs="Arial"/>
          <w:i/>
          <w:iCs/>
          <w:color w:val="000000" w:themeColor="text1"/>
          <w:sz w:val="20"/>
          <w:szCs w:val="20"/>
        </w:rPr>
        <w:t>4.1 Enrollment Profile</w:t>
      </w:r>
    </w:p>
    <w:p w14:paraId="1033887D" w14:textId="77777777" w:rsidR="000E6F8F" w:rsidRPr="000E6F8F" w:rsidRDefault="000E6F8F" w:rsidP="000E6F8F">
      <w:pPr>
        <w:spacing w:line="240" w:lineRule="auto"/>
      </w:pPr>
    </w:p>
    <w:p w14:paraId="7DED1693" w14:textId="2407E473" w:rsidR="000E6F8F" w:rsidRPr="000E6F8F" w:rsidRDefault="23AB6312" w:rsidP="000E6F8F">
      <w:pPr>
        <w:ind w:firstLine="720"/>
        <w:jc w:val="both"/>
      </w:pPr>
      <w:r w:rsidRPr="23AB6312">
        <w:rPr>
          <w:rFonts w:cs="Arial"/>
          <w:color w:val="000000" w:themeColor="text1"/>
          <w:sz w:val="20"/>
          <w:szCs w:val="20"/>
        </w:rPr>
        <w:t>Across the four school years represented in the records, the Junior High School level consistently accounted for the substantial majority of ALS enrollment in San Miguel District. JHS learners represented approximately 89.3% of recorded enrollment in SY 2022–2023, 92.4% in SY 2023–2024, 88.7% in SY 2024–2025, and 98.6% in SY 2025–2026. This pattern indicates that the principal demand represented in the district’s ALS records is concentrated at the secondary-equivalency level.</w:t>
      </w:r>
    </w:p>
    <w:p w14:paraId="5C7A335E" w14:textId="0A21A24B" w:rsidR="23AB6312" w:rsidRDefault="23AB6312" w:rsidP="00F70E0D">
      <w:pPr>
        <w:ind w:firstLine="720"/>
        <w:jc w:val="both"/>
        <w:rPr>
          <w:rFonts w:cs="Arial"/>
          <w:color w:val="000000" w:themeColor="text1"/>
          <w:sz w:val="20"/>
          <w:szCs w:val="20"/>
        </w:rPr>
      </w:pPr>
      <w:r w:rsidRPr="23AB6312">
        <w:rPr>
          <w:rFonts w:cs="Arial"/>
          <w:color w:val="000000" w:themeColor="text1"/>
          <w:sz w:val="20"/>
          <w:szCs w:val="20"/>
        </w:rPr>
        <w:t>This concentration has practical implications for educational support. Under Republic Act No. 11510, ALS is intended not only to provide access but also to offer flexible learning pathways responsive to the learning needs and circumstances of out-of-school children in special cases and adults.   The substantial JHS representation in San Miguel therefore suggests that extension resources—such as tutors, contextualized materials, and learning-support mechanisms—would need sufficient capacity to address secondary-level competencies.</w:t>
      </w:r>
    </w:p>
    <w:p w14:paraId="4027E327" w14:textId="63821AA5" w:rsidR="003B0E45" w:rsidRDefault="000E6F8F" w:rsidP="000E6F8F">
      <w:r>
        <w:t xml:space="preserve">         </w:t>
      </w:r>
      <w:r w:rsidR="003B0E45">
        <w:t>Table 1</w:t>
      </w:r>
    </w:p>
    <w:p w14:paraId="2FEE613A" w14:textId="501DF515" w:rsidR="003B0E45" w:rsidRPr="003B0E45" w:rsidRDefault="23AB6312" w:rsidP="23AB6312">
      <w:pPr>
        <w:rPr>
          <w:i/>
          <w:iCs/>
        </w:rPr>
      </w:pPr>
      <w:r w:rsidRPr="23AB6312">
        <w:rPr>
          <w:i/>
          <w:iCs/>
        </w:rPr>
        <w:t xml:space="preserve">         ALS enrollment in </w:t>
      </w:r>
      <w:r w:rsidRPr="23AB6312">
        <w:rPr>
          <w:rFonts w:eastAsia="Arial" w:cs="Arial"/>
          <w:i/>
          <w:iCs/>
          <w:szCs w:val="21"/>
        </w:rPr>
        <w:t>the San</w:t>
      </w:r>
      <w:r w:rsidRPr="23AB6312">
        <w:rPr>
          <w:i/>
          <w:iCs/>
        </w:rPr>
        <w:t xml:space="preserve"> Miguel district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2"/>
        <w:gridCol w:w="1495"/>
        <w:gridCol w:w="1495"/>
        <w:gridCol w:w="1495"/>
        <w:gridCol w:w="1495"/>
      </w:tblGrid>
      <w:tr w:rsidR="005321BA" w:rsidRPr="004A2599" w14:paraId="0112BC60" w14:textId="77777777" w:rsidTr="000E6F8F">
        <w:trPr>
          <w:jc w:val="center"/>
        </w:trPr>
        <w:tc>
          <w:tcPr>
            <w:tcW w:w="2652" w:type="dxa"/>
            <w:tcBorders>
              <w:top w:val="single" w:sz="4" w:space="0" w:color="auto"/>
              <w:bottom w:val="single" w:sz="4" w:space="0" w:color="auto"/>
            </w:tcBorders>
            <w:vAlign w:val="center"/>
          </w:tcPr>
          <w:p w14:paraId="2B7B9B18"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ALS Level</w:t>
            </w:r>
          </w:p>
        </w:tc>
        <w:tc>
          <w:tcPr>
            <w:tcW w:w="0" w:type="auto"/>
            <w:tcBorders>
              <w:top w:val="single" w:sz="4" w:space="0" w:color="auto"/>
              <w:bottom w:val="single" w:sz="4" w:space="0" w:color="auto"/>
            </w:tcBorders>
            <w:vAlign w:val="center"/>
          </w:tcPr>
          <w:p w14:paraId="3FF9B558"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SY 2022-2023</w:t>
            </w:r>
          </w:p>
        </w:tc>
        <w:tc>
          <w:tcPr>
            <w:tcW w:w="0" w:type="auto"/>
            <w:tcBorders>
              <w:top w:val="single" w:sz="4" w:space="0" w:color="auto"/>
              <w:bottom w:val="single" w:sz="4" w:space="0" w:color="auto"/>
            </w:tcBorders>
            <w:vAlign w:val="center"/>
          </w:tcPr>
          <w:p w14:paraId="69AED1B3"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SY 2023-2024</w:t>
            </w:r>
          </w:p>
        </w:tc>
        <w:tc>
          <w:tcPr>
            <w:tcW w:w="0" w:type="auto"/>
            <w:tcBorders>
              <w:top w:val="single" w:sz="4" w:space="0" w:color="auto"/>
              <w:bottom w:val="single" w:sz="4" w:space="0" w:color="auto"/>
            </w:tcBorders>
            <w:vAlign w:val="center"/>
          </w:tcPr>
          <w:p w14:paraId="72AFACF8"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SY 2024-2025</w:t>
            </w:r>
          </w:p>
        </w:tc>
        <w:tc>
          <w:tcPr>
            <w:tcW w:w="0" w:type="auto"/>
            <w:tcBorders>
              <w:top w:val="single" w:sz="4" w:space="0" w:color="auto"/>
              <w:bottom w:val="single" w:sz="4" w:space="0" w:color="auto"/>
            </w:tcBorders>
            <w:vAlign w:val="center"/>
          </w:tcPr>
          <w:p w14:paraId="588BAA57"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SY 2025-2026</w:t>
            </w:r>
          </w:p>
        </w:tc>
      </w:tr>
      <w:tr w:rsidR="005321BA" w:rsidRPr="004A2599" w14:paraId="3EFBD88E" w14:textId="77777777" w:rsidTr="000E6F8F">
        <w:trPr>
          <w:jc w:val="center"/>
        </w:trPr>
        <w:tc>
          <w:tcPr>
            <w:tcW w:w="2652" w:type="dxa"/>
            <w:tcBorders>
              <w:top w:val="single" w:sz="4" w:space="0" w:color="auto"/>
            </w:tcBorders>
            <w:vAlign w:val="center"/>
          </w:tcPr>
          <w:p w14:paraId="46D17083" w14:textId="77777777" w:rsidR="005321BA" w:rsidRPr="004A2599" w:rsidRDefault="00234A3E" w:rsidP="000E6F8F">
            <w:pPr>
              <w:rPr>
                <w:rFonts w:cs="Arial"/>
                <w:color w:val="000000" w:themeColor="text1"/>
                <w:sz w:val="20"/>
                <w:szCs w:val="20"/>
              </w:rPr>
            </w:pPr>
            <w:r w:rsidRPr="004A2599">
              <w:rPr>
                <w:rFonts w:cs="Arial"/>
                <w:color w:val="000000" w:themeColor="text1"/>
                <w:sz w:val="20"/>
                <w:szCs w:val="20"/>
              </w:rPr>
              <w:t>Basic Literacy Program</w:t>
            </w:r>
          </w:p>
        </w:tc>
        <w:tc>
          <w:tcPr>
            <w:tcW w:w="0" w:type="auto"/>
            <w:tcBorders>
              <w:top w:val="single" w:sz="4" w:space="0" w:color="auto"/>
            </w:tcBorders>
            <w:vAlign w:val="center"/>
          </w:tcPr>
          <w:p w14:paraId="6BD62FEC"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6</w:t>
            </w:r>
          </w:p>
        </w:tc>
        <w:tc>
          <w:tcPr>
            <w:tcW w:w="0" w:type="auto"/>
            <w:tcBorders>
              <w:top w:val="single" w:sz="4" w:space="0" w:color="auto"/>
            </w:tcBorders>
            <w:vAlign w:val="center"/>
          </w:tcPr>
          <w:p w14:paraId="12F97057"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w:t>
            </w:r>
          </w:p>
        </w:tc>
        <w:tc>
          <w:tcPr>
            <w:tcW w:w="0" w:type="auto"/>
            <w:tcBorders>
              <w:top w:val="single" w:sz="4" w:space="0" w:color="auto"/>
            </w:tcBorders>
            <w:vAlign w:val="center"/>
          </w:tcPr>
          <w:p w14:paraId="065779F9"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4</w:t>
            </w:r>
          </w:p>
        </w:tc>
        <w:tc>
          <w:tcPr>
            <w:tcW w:w="0" w:type="auto"/>
            <w:tcBorders>
              <w:top w:val="single" w:sz="4" w:space="0" w:color="auto"/>
            </w:tcBorders>
            <w:vAlign w:val="center"/>
          </w:tcPr>
          <w:p w14:paraId="64EEFA0E"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w:t>
            </w:r>
          </w:p>
        </w:tc>
      </w:tr>
      <w:tr w:rsidR="005321BA" w:rsidRPr="004A2599" w14:paraId="04C77BDD" w14:textId="77777777" w:rsidTr="000E6F8F">
        <w:trPr>
          <w:jc w:val="center"/>
        </w:trPr>
        <w:tc>
          <w:tcPr>
            <w:tcW w:w="2652" w:type="dxa"/>
            <w:vAlign w:val="center"/>
          </w:tcPr>
          <w:p w14:paraId="5EAFA7E2" w14:textId="77777777" w:rsidR="005321BA" w:rsidRPr="004A2599" w:rsidRDefault="00234A3E" w:rsidP="000E6F8F">
            <w:pPr>
              <w:rPr>
                <w:rFonts w:cs="Arial"/>
                <w:color w:val="000000" w:themeColor="text1"/>
                <w:sz w:val="20"/>
                <w:szCs w:val="20"/>
              </w:rPr>
            </w:pPr>
            <w:r w:rsidRPr="004A2599">
              <w:rPr>
                <w:rFonts w:cs="Arial"/>
                <w:color w:val="000000" w:themeColor="text1"/>
                <w:sz w:val="20"/>
                <w:szCs w:val="20"/>
              </w:rPr>
              <w:t>Elementary</w:t>
            </w:r>
          </w:p>
        </w:tc>
        <w:tc>
          <w:tcPr>
            <w:tcW w:w="0" w:type="auto"/>
            <w:vAlign w:val="center"/>
          </w:tcPr>
          <w:p w14:paraId="13C88350"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12</w:t>
            </w:r>
          </w:p>
        </w:tc>
        <w:tc>
          <w:tcPr>
            <w:tcW w:w="0" w:type="auto"/>
            <w:vAlign w:val="center"/>
          </w:tcPr>
          <w:p w14:paraId="0E62515B"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8</w:t>
            </w:r>
          </w:p>
        </w:tc>
        <w:tc>
          <w:tcPr>
            <w:tcW w:w="0" w:type="auto"/>
            <w:vAlign w:val="center"/>
          </w:tcPr>
          <w:p w14:paraId="6CD7D9DC"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12</w:t>
            </w:r>
          </w:p>
        </w:tc>
        <w:tc>
          <w:tcPr>
            <w:tcW w:w="0" w:type="auto"/>
            <w:vAlign w:val="center"/>
          </w:tcPr>
          <w:p w14:paraId="2FCDC9E7"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0</w:t>
            </w:r>
          </w:p>
        </w:tc>
      </w:tr>
      <w:tr w:rsidR="005321BA" w:rsidRPr="004A2599" w14:paraId="5FC9258A" w14:textId="77777777" w:rsidTr="000E6F8F">
        <w:trPr>
          <w:jc w:val="center"/>
        </w:trPr>
        <w:tc>
          <w:tcPr>
            <w:tcW w:w="2652" w:type="dxa"/>
            <w:vAlign w:val="center"/>
          </w:tcPr>
          <w:p w14:paraId="73E771B3" w14:textId="77777777" w:rsidR="005321BA" w:rsidRPr="004A2599" w:rsidRDefault="00234A3E" w:rsidP="000E6F8F">
            <w:pPr>
              <w:rPr>
                <w:rFonts w:cs="Arial"/>
                <w:color w:val="000000" w:themeColor="text1"/>
                <w:sz w:val="20"/>
                <w:szCs w:val="20"/>
              </w:rPr>
            </w:pPr>
            <w:r w:rsidRPr="004A2599">
              <w:rPr>
                <w:rFonts w:cs="Arial"/>
                <w:color w:val="000000" w:themeColor="text1"/>
                <w:sz w:val="20"/>
                <w:szCs w:val="20"/>
              </w:rPr>
              <w:t>Junior High School</w:t>
            </w:r>
          </w:p>
        </w:tc>
        <w:tc>
          <w:tcPr>
            <w:tcW w:w="0" w:type="auto"/>
            <w:vAlign w:val="center"/>
          </w:tcPr>
          <w:p w14:paraId="1101C482"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151</w:t>
            </w:r>
          </w:p>
        </w:tc>
        <w:tc>
          <w:tcPr>
            <w:tcW w:w="0" w:type="auto"/>
            <w:vAlign w:val="center"/>
          </w:tcPr>
          <w:p w14:paraId="0BDC7909"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121</w:t>
            </w:r>
          </w:p>
        </w:tc>
        <w:tc>
          <w:tcPr>
            <w:tcW w:w="0" w:type="auto"/>
            <w:vAlign w:val="center"/>
          </w:tcPr>
          <w:p w14:paraId="241BFE86"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125</w:t>
            </w:r>
          </w:p>
        </w:tc>
        <w:tc>
          <w:tcPr>
            <w:tcW w:w="0" w:type="auto"/>
            <w:vAlign w:val="center"/>
          </w:tcPr>
          <w:p w14:paraId="6100339E"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70</w:t>
            </w:r>
          </w:p>
        </w:tc>
      </w:tr>
      <w:tr w:rsidR="005321BA" w:rsidRPr="004A2599" w14:paraId="69ED6C3D" w14:textId="77777777" w:rsidTr="000E6F8F">
        <w:trPr>
          <w:jc w:val="center"/>
        </w:trPr>
        <w:tc>
          <w:tcPr>
            <w:tcW w:w="2652" w:type="dxa"/>
            <w:tcBorders>
              <w:bottom w:val="single" w:sz="4" w:space="0" w:color="auto"/>
            </w:tcBorders>
            <w:vAlign w:val="center"/>
          </w:tcPr>
          <w:p w14:paraId="42B2039D" w14:textId="77777777" w:rsidR="005321BA" w:rsidRPr="004A2599" w:rsidRDefault="00234A3E" w:rsidP="000E6F8F">
            <w:pPr>
              <w:rPr>
                <w:rFonts w:cs="Arial"/>
                <w:color w:val="000000" w:themeColor="text1"/>
                <w:sz w:val="20"/>
                <w:szCs w:val="20"/>
              </w:rPr>
            </w:pPr>
            <w:r w:rsidRPr="004A2599">
              <w:rPr>
                <w:rFonts w:cs="Arial"/>
                <w:color w:val="000000" w:themeColor="text1"/>
                <w:sz w:val="20"/>
                <w:szCs w:val="20"/>
              </w:rPr>
              <w:t>Total</w:t>
            </w:r>
          </w:p>
        </w:tc>
        <w:tc>
          <w:tcPr>
            <w:tcW w:w="0" w:type="auto"/>
            <w:tcBorders>
              <w:bottom w:val="single" w:sz="4" w:space="0" w:color="auto"/>
            </w:tcBorders>
            <w:vAlign w:val="center"/>
          </w:tcPr>
          <w:p w14:paraId="424167C4"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169</w:t>
            </w:r>
          </w:p>
        </w:tc>
        <w:tc>
          <w:tcPr>
            <w:tcW w:w="0" w:type="auto"/>
            <w:tcBorders>
              <w:bottom w:val="single" w:sz="4" w:space="0" w:color="auto"/>
            </w:tcBorders>
            <w:vAlign w:val="center"/>
          </w:tcPr>
          <w:p w14:paraId="623699DA"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131</w:t>
            </w:r>
          </w:p>
        </w:tc>
        <w:tc>
          <w:tcPr>
            <w:tcW w:w="0" w:type="auto"/>
            <w:tcBorders>
              <w:bottom w:val="single" w:sz="4" w:space="0" w:color="auto"/>
            </w:tcBorders>
            <w:vAlign w:val="center"/>
          </w:tcPr>
          <w:p w14:paraId="63B91D41"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141</w:t>
            </w:r>
          </w:p>
        </w:tc>
        <w:tc>
          <w:tcPr>
            <w:tcW w:w="0" w:type="auto"/>
            <w:tcBorders>
              <w:bottom w:val="single" w:sz="4" w:space="0" w:color="auto"/>
            </w:tcBorders>
            <w:vAlign w:val="center"/>
          </w:tcPr>
          <w:p w14:paraId="4FA43761"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71</w:t>
            </w:r>
          </w:p>
        </w:tc>
      </w:tr>
    </w:tbl>
    <w:p w14:paraId="12768035" w14:textId="77777777" w:rsidR="00202317" w:rsidRPr="004A2599" w:rsidRDefault="00202317">
      <w:pPr>
        <w:rPr>
          <w:rFonts w:cs="Arial"/>
          <w:color w:val="000000" w:themeColor="text1"/>
          <w:sz w:val="20"/>
          <w:szCs w:val="20"/>
        </w:rPr>
      </w:pPr>
    </w:p>
    <w:p w14:paraId="3955FC8E" w14:textId="12279F3F" w:rsidR="00776C5B" w:rsidRPr="004A2599" w:rsidRDefault="00E23F8E" w:rsidP="00776C5B">
      <w:pPr>
        <w:ind w:firstLine="720"/>
        <w:jc w:val="both"/>
        <w:rPr>
          <w:rFonts w:cs="Arial"/>
          <w:color w:val="000000" w:themeColor="text1"/>
          <w:sz w:val="20"/>
          <w:szCs w:val="20"/>
        </w:rPr>
      </w:pPr>
      <w:r w:rsidRPr="00E23F8E">
        <w:rPr>
          <w:rFonts w:cs="Arial"/>
          <w:color w:val="000000" w:themeColor="text1"/>
          <w:sz w:val="20"/>
          <w:szCs w:val="20"/>
        </w:rPr>
        <w:t>The concentration of enrollment at the JHS level has practical implications for educational support. Under the Alternative Learning System Act, ALS is intended to provide flexible and appropriate alternative basic education responsive to learners’ needs and circumstances (Alternative Learning System Act, 2020). The substantial representation of JHS learners in San Miguel District therefore provides a local empirical basis for considering the level at which learning-support resources, including tutors and supplementary learning materials, may need to be concentrated.</w:t>
      </w:r>
    </w:p>
    <w:p w14:paraId="3E905BEA" w14:textId="32C6AD47" w:rsidR="005321BA"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The decrease in total recorded enrollment from 141 in SY 2024–2025 to 71 in SY 2025–2026 should nevertheless be interpreted cautiously. The available records do not establish whether the latter figure represents a complete reporting cycle or whether it reflects changes in recruitment, learner mobility, reporting procedures, or other circumstances. It would therefore be inappropriate to interpret the decline as evidence of either reduced educational need or diminished program effectiveness without additional information.</w:t>
      </w:r>
    </w:p>
    <w:p w14:paraId="1D630350" w14:textId="1B066C6E" w:rsidR="23AB6312" w:rsidRDefault="23AB6312" w:rsidP="23AB6312">
      <w:pPr>
        <w:pStyle w:val="Heading2"/>
        <w:rPr>
          <w:rFonts w:ascii="Arial" w:hAnsi="Arial" w:cs="Arial"/>
          <w:i/>
          <w:iCs/>
          <w:color w:val="000000" w:themeColor="text1"/>
          <w:sz w:val="20"/>
          <w:szCs w:val="20"/>
        </w:rPr>
      </w:pPr>
      <w:r w:rsidRPr="23AB6312">
        <w:rPr>
          <w:rFonts w:ascii="Arial" w:hAnsi="Arial" w:cs="Arial"/>
          <w:i/>
          <w:iCs/>
          <w:color w:val="000000" w:themeColor="text1"/>
          <w:sz w:val="20"/>
          <w:szCs w:val="20"/>
        </w:rPr>
        <w:t>4.2 JHS Completion Records</w:t>
      </w:r>
    </w:p>
    <w:p w14:paraId="4E1366E7" w14:textId="09459CA7" w:rsidR="23AB6312" w:rsidRDefault="23AB6312" w:rsidP="23AB6312">
      <w:pPr>
        <w:ind w:firstLine="720"/>
        <w:jc w:val="both"/>
        <w:rPr>
          <w:rFonts w:eastAsia="MS Mincho"/>
          <w:sz w:val="20"/>
          <w:szCs w:val="20"/>
        </w:rPr>
      </w:pPr>
      <w:r w:rsidRPr="23AB6312">
        <w:rPr>
          <w:rFonts w:eastAsia="MS Mincho"/>
          <w:sz w:val="20"/>
          <w:szCs w:val="20"/>
        </w:rPr>
        <w:t>The available completion records provide information on the progression of JHS learners in San Miguel District across the three school years covered by the data. As shown in Table 2, 34 learners were recorded as completers in SY 2022–2023, increasing to 44 in SY 2023–2024 and slightly decreasing to 41 in SY 2024–2025. The corresponding completion rates reported in the district records were 48.14%, 45.40%, and 38.56%, respectively.</w:t>
      </w:r>
    </w:p>
    <w:p w14:paraId="5CC2762F" w14:textId="6FC88738" w:rsidR="23AB6312" w:rsidRDefault="23AB6312" w:rsidP="23AB6312">
      <w:pPr>
        <w:rPr>
          <w:sz w:val="20"/>
          <w:szCs w:val="20"/>
        </w:rPr>
      </w:pPr>
    </w:p>
    <w:p w14:paraId="7ABDC140" w14:textId="1CB164D4" w:rsidR="003B0E45" w:rsidRDefault="003B0E45" w:rsidP="003B0E45">
      <w:r>
        <w:t>Table 2</w:t>
      </w:r>
    </w:p>
    <w:p w14:paraId="317FE96D" w14:textId="593BF902" w:rsidR="003B0E45" w:rsidRPr="003B0E45" w:rsidRDefault="003B0E45" w:rsidP="003B0E45">
      <w:pPr>
        <w:rPr>
          <w:i/>
          <w:iCs/>
        </w:rPr>
      </w:pPr>
      <w:r>
        <w:rPr>
          <w:i/>
          <w:iCs/>
        </w:rPr>
        <w:t>Completion rate of ALS in San Miguel</w:t>
      </w:r>
    </w:p>
    <w:tbl>
      <w:tblPr>
        <w:tblStyle w:val="TableGrid"/>
        <w:tblW w:w="7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1837"/>
        <w:gridCol w:w="1845"/>
        <w:gridCol w:w="1844"/>
      </w:tblGrid>
      <w:tr w:rsidR="005321BA" w:rsidRPr="004A2599" w14:paraId="5E031A4B" w14:textId="77777777" w:rsidTr="23AB6312">
        <w:tc>
          <w:tcPr>
            <w:tcW w:w="1794" w:type="dxa"/>
            <w:tcBorders>
              <w:top w:val="single" w:sz="4" w:space="0" w:color="auto"/>
              <w:bottom w:val="single" w:sz="4" w:space="0" w:color="auto"/>
            </w:tcBorders>
            <w:vAlign w:val="center"/>
          </w:tcPr>
          <w:p w14:paraId="2D3729C5"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School Year</w:t>
            </w:r>
          </w:p>
        </w:tc>
        <w:tc>
          <w:tcPr>
            <w:tcW w:w="1837" w:type="dxa"/>
            <w:tcBorders>
              <w:top w:val="single" w:sz="4" w:space="0" w:color="auto"/>
              <w:bottom w:val="single" w:sz="4" w:space="0" w:color="auto"/>
            </w:tcBorders>
            <w:vAlign w:val="center"/>
          </w:tcPr>
          <w:p w14:paraId="384A22D7"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JHS Enrollment</w:t>
            </w:r>
          </w:p>
        </w:tc>
        <w:tc>
          <w:tcPr>
            <w:tcW w:w="1845" w:type="dxa"/>
            <w:tcBorders>
              <w:top w:val="single" w:sz="4" w:space="0" w:color="auto"/>
              <w:bottom w:val="single" w:sz="4" w:space="0" w:color="auto"/>
            </w:tcBorders>
            <w:vAlign w:val="center"/>
          </w:tcPr>
          <w:p w14:paraId="0F275565"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Recorded Completers</w:t>
            </w:r>
          </w:p>
        </w:tc>
        <w:tc>
          <w:tcPr>
            <w:tcW w:w="1844" w:type="dxa"/>
            <w:tcBorders>
              <w:top w:val="single" w:sz="4" w:space="0" w:color="auto"/>
              <w:bottom w:val="single" w:sz="4" w:space="0" w:color="auto"/>
            </w:tcBorders>
            <w:vAlign w:val="center"/>
          </w:tcPr>
          <w:p w14:paraId="713D76CA"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Reported Completion %**</w:t>
            </w:r>
          </w:p>
        </w:tc>
      </w:tr>
      <w:tr w:rsidR="005321BA" w:rsidRPr="004A2599" w14:paraId="165291A7" w14:textId="77777777" w:rsidTr="23AB6312">
        <w:tc>
          <w:tcPr>
            <w:tcW w:w="1794" w:type="dxa"/>
            <w:tcBorders>
              <w:top w:val="single" w:sz="4" w:space="0" w:color="auto"/>
            </w:tcBorders>
            <w:vAlign w:val="center"/>
          </w:tcPr>
          <w:p w14:paraId="38149347"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2022-2023</w:t>
            </w:r>
          </w:p>
        </w:tc>
        <w:tc>
          <w:tcPr>
            <w:tcW w:w="1837" w:type="dxa"/>
            <w:tcBorders>
              <w:top w:val="single" w:sz="4" w:space="0" w:color="auto"/>
            </w:tcBorders>
            <w:vAlign w:val="center"/>
          </w:tcPr>
          <w:p w14:paraId="0862D114"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151</w:t>
            </w:r>
          </w:p>
        </w:tc>
        <w:tc>
          <w:tcPr>
            <w:tcW w:w="1845" w:type="dxa"/>
            <w:tcBorders>
              <w:top w:val="single" w:sz="4" w:space="0" w:color="auto"/>
            </w:tcBorders>
            <w:vAlign w:val="center"/>
          </w:tcPr>
          <w:p w14:paraId="51FBAE47"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34</w:t>
            </w:r>
          </w:p>
        </w:tc>
        <w:tc>
          <w:tcPr>
            <w:tcW w:w="1844" w:type="dxa"/>
            <w:tcBorders>
              <w:top w:val="single" w:sz="4" w:space="0" w:color="auto"/>
            </w:tcBorders>
            <w:vAlign w:val="center"/>
          </w:tcPr>
          <w:p w14:paraId="6F727DD7"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48.14%</w:t>
            </w:r>
          </w:p>
        </w:tc>
      </w:tr>
      <w:tr w:rsidR="005321BA" w:rsidRPr="004A2599" w14:paraId="430F18AE" w14:textId="77777777" w:rsidTr="23AB6312">
        <w:tc>
          <w:tcPr>
            <w:tcW w:w="1794" w:type="dxa"/>
            <w:vAlign w:val="center"/>
          </w:tcPr>
          <w:p w14:paraId="78AA6066"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2023-2024</w:t>
            </w:r>
          </w:p>
        </w:tc>
        <w:tc>
          <w:tcPr>
            <w:tcW w:w="1837" w:type="dxa"/>
            <w:vAlign w:val="center"/>
          </w:tcPr>
          <w:p w14:paraId="3B4113C1"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121</w:t>
            </w:r>
          </w:p>
        </w:tc>
        <w:tc>
          <w:tcPr>
            <w:tcW w:w="1845" w:type="dxa"/>
            <w:vAlign w:val="center"/>
          </w:tcPr>
          <w:p w14:paraId="4A9F9FC4"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44</w:t>
            </w:r>
          </w:p>
        </w:tc>
        <w:tc>
          <w:tcPr>
            <w:tcW w:w="1844" w:type="dxa"/>
            <w:vAlign w:val="center"/>
          </w:tcPr>
          <w:p w14:paraId="4D86AFB2"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45.40%</w:t>
            </w:r>
          </w:p>
        </w:tc>
      </w:tr>
      <w:tr w:rsidR="005321BA" w:rsidRPr="004A2599" w14:paraId="2D6C7E09" w14:textId="77777777" w:rsidTr="23AB6312">
        <w:tc>
          <w:tcPr>
            <w:tcW w:w="1794" w:type="dxa"/>
            <w:vAlign w:val="center"/>
          </w:tcPr>
          <w:p w14:paraId="35329CF5"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2024-2025</w:t>
            </w:r>
          </w:p>
        </w:tc>
        <w:tc>
          <w:tcPr>
            <w:tcW w:w="1837" w:type="dxa"/>
            <w:vAlign w:val="center"/>
          </w:tcPr>
          <w:p w14:paraId="71BC435C"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125</w:t>
            </w:r>
          </w:p>
        </w:tc>
        <w:tc>
          <w:tcPr>
            <w:tcW w:w="1845" w:type="dxa"/>
            <w:vAlign w:val="center"/>
          </w:tcPr>
          <w:p w14:paraId="5E7110E3"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41</w:t>
            </w:r>
          </w:p>
        </w:tc>
        <w:tc>
          <w:tcPr>
            <w:tcW w:w="1844" w:type="dxa"/>
            <w:vAlign w:val="center"/>
          </w:tcPr>
          <w:p w14:paraId="035D4D56"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38.56%</w:t>
            </w:r>
          </w:p>
        </w:tc>
      </w:tr>
    </w:tbl>
    <w:p w14:paraId="69A50067" w14:textId="2D57FABB" w:rsidR="00776C5B" w:rsidRPr="000E6F8F" w:rsidRDefault="23AB6312" w:rsidP="23AB6312">
      <w:pPr>
        <w:spacing w:after="240"/>
      </w:pPr>
      <w:r w:rsidRPr="23AB6312">
        <w:rPr>
          <w:rFonts w:cs="Arial"/>
          <w:color w:val="000000" w:themeColor="text1"/>
          <w:sz w:val="16"/>
          <w:szCs w:val="16"/>
        </w:rPr>
        <w:t>*</w:t>
      </w:r>
      <w:r w:rsidRPr="23AB6312">
        <w:rPr>
          <w:rFonts w:eastAsia="Arial" w:cs="Arial"/>
          <w:sz w:val="16"/>
          <w:szCs w:val="16"/>
        </w:rPr>
        <w:t xml:space="preserve"> Enrollment, number of completers, and completion rates are presented as reported in the available San Miguel District ALS administrative records.</w:t>
      </w:r>
    </w:p>
    <w:p w14:paraId="606C5F64" w14:textId="244C9FD9" w:rsidR="00202317" w:rsidRPr="004A2599" w:rsidRDefault="23AB6312" w:rsidP="00776C5B">
      <w:pPr>
        <w:ind w:firstLine="720"/>
        <w:jc w:val="both"/>
      </w:pPr>
      <w:r w:rsidRPr="23AB6312">
        <w:rPr>
          <w:rFonts w:cs="Arial"/>
          <w:color w:val="000000" w:themeColor="text1"/>
          <w:sz w:val="20"/>
          <w:szCs w:val="20"/>
        </w:rPr>
        <w:t>The records show that San Miguel District has consistently produced JHS ALS completers during the three school years examined. At the same time, the reported completion rate decreased from 48.14% in SY 2022–2023 to 38.56% in SY 2024–2025, despite the number of recorded completers remaining relatively stable at 34 to 44 learners. This pattern provides an important baseline for examining learner progression within the district.</w:t>
      </w:r>
    </w:p>
    <w:p w14:paraId="47A6B170" w14:textId="229ADB97" w:rsidR="00202317" w:rsidRPr="004A2599" w:rsidRDefault="23AB6312" w:rsidP="23AB6312">
      <w:pPr>
        <w:ind w:firstLine="720"/>
        <w:jc w:val="both"/>
      </w:pPr>
      <w:r w:rsidRPr="23AB6312">
        <w:rPr>
          <w:rFonts w:cs="Arial"/>
          <w:color w:val="000000" w:themeColor="text1"/>
          <w:sz w:val="20"/>
          <w:szCs w:val="20"/>
        </w:rPr>
        <w:t>The completion data should nevertheless be interpreted within the limitations of documentary analysis. Administrative records describe program outcomes but do not explain the individual circumstances or learning experiences associated with completion or continued participation. It would therefore be inappropriate to attribute the observed pattern solely to academic difficulty, attendance, motivation, socioeconomic conditions, or any other specific factor without direct evidence from the learners and ALS implementers.</w:t>
      </w:r>
    </w:p>
    <w:p w14:paraId="0D9FC8F4" w14:textId="3632423C" w:rsidR="00202317" w:rsidRPr="004A2599" w:rsidRDefault="23AB6312" w:rsidP="23AB6312">
      <w:pPr>
        <w:ind w:firstLine="720"/>
        <w:jc w:val="both"/>
      </w:pPr>
      <w:r w:rsidRPr="23AB6312">
        <w:rPr>
          <w:rFonts w:cs="Arial"/>
          <w:color w:val="000000" w:themeColor="text1"/>
          <w:sz w:val="20"/>
          <w:szCs w:val="20"/>
        </w:rPr>
        <w:t>This limitation is particularly relevant in the ALS context because learners may experience diverse circumstances that shape their participation in alternative education. Philippine research has identified personal, family, financial, and accessibility considerations among ALS learners and individuals transitioning from formal schooling to alternative education (Alvarez, 2024). However, these findings from other settings should be treated as possible areas for investigation rather than explanations for the San Miguel District pattern.</w:t>
      </w:r>
    </w:p>
    <w:p w14:paraId="3795D997" w14:textId="77CAADF0" w:rsidR="00202317" w:rsidRPr="004A2599" w:rsidRDefault="23AB6312" w:rsidP="23AB6312">
      <w:pPr>
        <w:ind w:firstLine="720"/>
        <w:jc w:val="both"/>
      </w:pPr>
      <w:r w:rsidRPr="23AB6312">
        <w:rPr>
          <w:rFonts w:cs="Arial"/>
          <w:color w:val="000000" w:themeColor="text1"/>
          <w:sz w:val="20"/>
          <w:szCs w:val="20"/>
        </w:rPr>
        <w:t>Accordingly, the completion records establish a baseline pattern of learner progression that warrants further examination through direct needs assessment. Understanding learners’ academic support needs, participation experiences, and barriers to continued engagement would provide the additional evidence necessary for designing responsive educational extension interventions.</w:t>
      </w:r>
    </w:p>
    <w:p w14:paraId="4D32746E" w14:textId="77777777" w:rsidR="005321BA" w:rsidRPr="00864EF8" w:rsidRDefault="00234A3E">
      <w:pPr>
        <w:pStyle w:val="Heading2"/>
        <w:rPr>
          <w:rFonts w:ascii="Arial" w:hAnsi="Arial" w:cs="Arial"/>
          <w:i/>
          <w:iCs/>
          <w:color w:val="000000" w:themeColor="text1"/>
          <w:sz w:val="20"/>
          <w:szCs w:val="20"/>
        </w:rPr>
      </w:pPr>
      <w:r w:rsidRPr="00864EF8">
        <w:rPr>
          <w:rFonts w:ascii="Arial" w:hAnsi="Arial" w:cs="Arial"/>
          <w:i/>
          <w:iCs/>
          <w:color w:val="000000" w:themeColor="text1"/>
          <w:sz w:val="20"/>
          <w:szCs w:val="20"/>
        </w:rPr>
        <w:t>4.3 JHS Passer Records</w:t>
      </w:r>
    </w:p>
    <w:p w14:paraId="1D9017A6" w14:textId="4A0E8A12" w:rsidR="007D47CD" w:rsidRDefault="23AB6312" w:rsidP="23AB6312">
      <w:pPr>
        <w:ind w:firstLine="720"/>
        <w:jc w:val="both"/>
        <w:rPr>
          <w:rFonts w:cs="Arial"/>
          <w:color w:val="000000" w:themeColor="text1"/>
          <w:sz w:val="20"/>
          <w:szCs w:val="20"/>
        </w:rPr>
      </w:pPr>
      <w:r w:rsidRPr="23AB6312">
        <w:rPr>
          <w:rFonts w:cs="Arial"/>
          <w:color w:val="000000" w:themeColor="text1"/>
          <w:sz w:val="20"/>
          <w:szCs w:val="20"/>
        </w:rPr>
        <w:t xml:space="preserve">The assessment data add an important dimension to the interpretation of learner progression. The district records show 34, 44, and 35 JHS passers across the three school years, with reported passing percentages of 77.18%, 94.75%, and 83.00%, respectively. As with the completion percentages, the denominators underlying these reported rates are not available in the present dataset and should therefore be verified before further statistical interpretation. </w:t>
      </w:r>
    </w:p>
    <w:p w14:paraId="614B62F1" w14:textId="7211C64A" w:rsidR="007D47CD" w:rsidRPr="007D47CD" w:rsidRDefault="513EC8B0" w:rsidP="324B2EAC">
      <w:pPr>
        <w:ind w:firstLine="720"/>
        <w:jc w:val="both"/>
        <w:rPr>
          <w:rFonts w:cs="Arial"/>
          <w:color w:val="000000" w:themeColor="text1"/>
          <w:sz w:val="20"/>
          <w:szCs w:val="20"/>
        </w:rPr>
      </w:pPr>
      <w:r w:rsidRPr="513EC8B0">
        <w:rPr>
          <w:rFonts w:cs="Arial"/>
          <w:color w:val="000000" w:themeColor="text1"/>
          <w:sz w:val="20"/>
          <w:szCs w:val="20"/>
        </w:rPr>
        <w:t xml:space="preserve">Nevertheless, the pattern cautions against defining the central educational issue simply as poor </w:t>
      </w:r>
      <w:bookmarkStart w:id="2" w:name="_Int_FX1sycfn"/>
      <w:r w:rsidRPr="513EC8B0">
        <w:rPr>
          <w:rFonts w:cs="Arial"/>
          <w:color w:val="000000" w:themeColor="text1"/>
          <w:sz w:val="20"/>
          <w:szCs w:val="20"/>
        </w:rPr>
        <w:t>assessment</w:t>
      </w:r>
      <w:bookmarkEnd w:id="2"/>
      <w:r w:rsidRPr="513EC8B0">
        <w:rPr>
          <w:rFonts w:cs="Arial"/>
          <w:color w:val="000000" w:themeColor="text1"/>
          <w:sz w:val="20"/>
          <w:szCs w:val="20"/>
        </w:rPr>
        <w:t xml:space="preserve"> performance. The comparatively high reported passing percentages suggest that learners represented in the relevant assessment population may perform relatively well once they reach that stage. This shifts analytical attention toward the broader pathway through which learners move from enrollment to sustained participation, competency development, </w:t>
      </w:r>
      <w:bookmarkStart w:id="3" w:name="_Int_8Rypa3gf"/>
      <w:r w:rsidRPr="513EC8B0">
        <w:rPr>
          <w:rFonts w:cs="Arial"/>
          <w:color w:val="000000" w:themeColor="text1"/>
          <w:sz w:val="20"/>
          <w:szCs w:val="20"/>
        </w:rPr>
        <w:t>completion</w:t>
      </w:r>
      <w:bookmarkEnd w:id="3"/>
      <w:r w:rsidRPr="513EC8B0">
        <w:rPr>
          <w:rFonts w:cs="Arial"/>
          <w:color w:val="000000" w:themeColor="text1"/>
          <w:sz w:val="20"/>
          <w:szCs w:val="20"/>
        </w:rPr>
        <w:t xml:space="preserve"> readiness, and assessment.</w:t>
      </w:r>
    </w:p>
    <w:p w14:paraId="0D47D00D" w14:textId="264FDFDA" w:rsidR="007D47CD" w:rsidRDefault="007D47CD" w:rsidP="007D47CD">
      <w:r>
        <w:t>Table 3</w:t>
      </w:r>
    </w:p>
    <w:p w14:paraId="69C9D768" w14:textId="72765208" w:rsidR="007D47CD" w:rsidRPr="007D47CD" w:rsidRDefault="007D47CD" w:rsidP="007D47CD">
      <w:pPr>
        <w:rPr>
          <w:i/>
          <w:iCs/>
        </w:rPr>
      </w:pPr>
      <w:r>
        <w:rPr>
          <w:i/>
          <w:iCs/>
        </w:rPr>
        <w:t>ALS passing rate of San Miguel district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3216"/>
        <w:gridCol w:w="3216"/>
      </w:tblGrid>
      <w:tr w:rsidR="005321BA" w:rsidRPr="004A2599" w14:paraId="31BD4153" w14:textId="77777777" w:rsidTr="007D47CD">
        <w:tc>
          <w:tcPr>
            <w:tcW w:w="3216" w:type="dxa"/>
            <w:tcBorders>
              <w:top w:val="single" w:sz="4" w:space="0" w:color="auto"/>
              <w:bottom w:val="single" w:sz="4" w:space="0" w:color="auto"/>
            </w:tcBorders>
            <w:vAlign w:val="center"/>
          </w:tcPr>
          <w:p w14:paraId="23A96CC4"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School Year</w:t>
            </w:r>
          </w:p>
        </w:tc>
        <w:tc>
          <w:tcPr>
            <w:tcW w:w="3216" w:type="dxa"/>
            <w:tcBorders>
              <w:top w:val="single" w:sz="4" w:space="0" w:color="auto"/>
              <w:bottom w:val="single" w:sz="4" w:space="0" w:color="auto"/>
            </w:tcBorders>
            <w:vAlign w:val="center"/>
          </w:tcPr>
          <w:p w14:paraId="35BE55A6"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Recorded Passers</w:t>
            </w:r>
          </w:p>
        </w:tc>
        <w:tc>
          <w:tcPr>
            <w:tcW w:w="3216" w:type="dxa"/>
            <w:tcBorders>
              <w:top w:val="single" w:sz="4" w:space="0" w:color="auto"/>
              <w:bottom w:val="single" w:sz="4" w:space="0" w:color="auto"/>
            </w:tcBorders>
            <w:vAlign w:val="center"/>
          </w:tcPr>
          <w:p w14:paraId="61E88EDB" w14:textId="77777777" w:rsidR="005321BA" w:rsidRPr="003B0E45" w:rsidRDefault="00234A3E" w:rsidP="003B0E45">
            <w:pPr>
              <w:jc w:val="center"/>
              <w:rPr>
                <w:rFonts w:cs="Arial"/>
                <w:i/>
                <w:iCs/>
                <w:color w:val="000000" w:themeColor="text1"/>
                <w:sz w:val="20"/>
                <w:szCs w:val="20"/>
              </w:rPr>
            </w:pPr>
            <w:r w:rsidRPr="003B0E45">
              <w:rPr>
                <w:rFonts w:cs="Arial"/>
                <w:i/>
                <w:iCs/>
                <w:color w:val="000000" w:themeColor="text1"/>
                <w:sz w:val="20"/>
                <w:szCs w:val="20"/>
              </w:rPr>
              <w:t>Reported Passing %</w:t>
            </w:r>
          </w:p>
        </w:tc>
      </w:tr>
      <w:tr w:rsidR="005321BA" w:rsidRPr="004A2599" w14:paraId="4A45E5AD" w14:textId="77777777" w:rsidTr="007D47CD">
        <w:tc>
          <w:tcPr>
            <w:tcW w:w="3216" w:type="dxa"/>
            <w:tcBorders>
              <w:top w:val="single" w:sz="4" w:space="0" w:color="auto"/>
            </w:tcBorders>
            <w:vAlign w:val="center"/>
          </w:tcPr>
          <w:p w14:paraId="447FD7DB"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2022-2023</w:t>
            </w:r>
          </w:p>
        </w:tc>
        <w:tc>
          <w:tcPr>
            <w:tcW w:w="3216" w:type="dxa"/>
            <w:tcBorders>
              <w:top w:val="single" w:sz="4" w:space="0" w:color="auto"/>
            </w:tcBorders>
            <w:vAlign w:val="center"/>
          </w:tcPr>
          <w:p w14:paraId="7788CA11"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34</w:t>
            </w:r>
          </w:p>
        </w:tc>
        <w:tc>
          <w:tcPr>
            <w:tcW w:w="3216" w:type="dxa"/>
            <w:tcBorders>
              <w:top w:val="single" w:sz="4" w:space="0" w:color="auto"/>
            </w:tcBorders>
            <w:vAlign w:val="center"/>
          </w:tcPr>
          <w:p w14:paraId="55BCE263"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77.18%</w:t>
            </w:r>
          </w:p>
        </w:tc>
      </w:tr>
      <w:tr w:rsidR="005321BA" w:rsidRPr="004A2599" w14:paraId="69FBC703" w14:textId="77777777" w:rsidTr="007D47CD">
        <w:tc>
          <w:tcPr>
            <w:tcW w:w="3216" w:type="dxa"/>
            <w:vAlign w:val="center"/>
          </w:tcPr>
          <w:p w14:paraId="76890565"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2023-2024</w:t>
            </w:r>
          </w:p>
        </w:tc>
        <w:tc>
          <w:tcPr>
            <w:tcW w:w="3216" w:type="dxa"/>
            <w:vAlign w:val="center"/>
          </w:tcPr>
          <w:p w14:paraId="01A0F4F2"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44</w:t>
            </w:r>
          </w:p>
        </w:tc>
        <w:tc>
          <w:tcPr>
            <w:tcW w:w="3216" w:type="dxa"/>
            <w:vAlign w:val="center"/>
          </w:tcPr>
          <w:p w14:paraId="16E1A821"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94.75%</w:t>
            </w:r>
          </w:p>
        </w:tc>
      </w:tr>
      <w:tr w:rsidR="005321BA" w:rsidRPr="004A2599" w14:paraId="419BFAD3" w14:textId="77777777" w:rsidTr="007D47CD">
        <w:tc>
          <w:tcPr>
            <w:tcW w:w="3216" w:type="dxa"/>
            <w:vAlign w:val="center"/>
          </w:tcPr>
          <w:p w14:paraId="7B0EBF4D"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2024-2025</w:t>
            </w:r>
          </w:p>
        </w:tc>
        <w:tc>
          <w:tcPr>
            <w:tcW w:w="3216" w:type="dxa"/>
            <w:vAlign w:val="center"/>
          </w:tcPr>
          <w:p w14:paraId="7FCDE335"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35</w:t>
            </w:r>
          </w:p>
        </w:tc>
        <w:tc>
          <w:tcPr>
            <w:tcW w:w="3216" w:type="dxa"/>
            <w:vAlign w:val="center"/>
          </w:tcPr>
          <w:p w14:paraId="18925A39" w14:textId="77777777" w:rsidR="005321BA" w:rsidRPr="004A2599" w:rsidRDefault="00234A3E" w:rsidP="003B0E45">
            <w:pPr>
              <w:jc w:val="center"/>
              <w:rPr>
                <w:rFonts w:cs="Arial"/>
                <w:color w:val="000000" w:themeColor="text1"/>
                <w:sz w:val="20"/>
                <w:szCs w:val="20"/>
              </w:rPr>
            </w:pPr>
            <w:r w:rsidRPr="004A2599">
              <w:rPr>
                <w:rFonts w:cs="Arial"/>
                <w:color w:val="000000" w:themeColor="text1"/>
                <w:sz w:val="20"/>
                <w:szCs w:val="20"/>
              </w:rPr>
              <w:t>83.00%</w:t>
            </w:r>
          </w:p>
        </w:tc>
      </w:tr>
    </w:tbl>
    <w:p w14:paraId="3323C3D8" w14:textId="6B377849" w:rsidR="00776C5B" w:rsidRPr="004A2599" w:rsidRDefault="00776C5B" w:rsidP="001A4DDE">
      <w:pPr>
        <w:jc w:val="both"/>
        <w:rPr>
          <w:rFonts w:cs="Arial"/>
          <w:color w:val="000000" w:themeColor="text1"/>
          <w:sz w:val="20"/>
          <w:szCs w:val="20"/>
        </w:rPr>
      </w:pPr>
    </w:p>
    <w:p w14:paraId="17F23A62" w14:textId="7E1D0018" w:rsidR="005321BA" w:rsidRDefault="00776C5B" w:rsidP="00776C5B">
      <w:pPr>
        <w:ind w:firstLine="720"/>
        <w:jc w:val="both"/>
        <w:rPr>
          <w:rFonts w:cs="Arial"/>
          <w:color w:val="000000" w:themeColor="text1"/>
          <w:sz w:val="20"/>
          <w:szCs w:val="20"/>
        </w:rPr>
      </w:pPr>
      <w:r w:rsidRPr="004A2599">
        <w:rPr>
          <w:rFonts w:cs="Arial"/>
          <w:color w:val="000000" w:themeColor="text1"/>
          <w:sz w:val="20"/>
          <w:szCs w:val="20"/>
        </w:rPr>
        <w:t>This distinction is consistent with ALS assessment principles. Assessment mechanisms are intended not merely to determine final certification but also to identify learner strengths and weaknesses and inform additional learning interventions. UNESCO’s work with DepEd on the Accreditation and Equivalency Readiness Test, for example, explicitly positioned readiness assessment as a means of identifying areas requiring further learning support before learners proceed to the A&amp;E assessment.</w:t>
      </w:r>
    </w:p>
    <w:p w14:paraId="02FF0B02" w14:textId="77777777" w:rsidR="00F5256E" w:rsidRPr="004A2599" w:rsidRDefault="00F5256E" w:rsidP="00776C5B">
      <w:pPr>
        <w:ind w:firstLine="720"/>
        <w:jc w:val="both"/>
        <w:rPr>
          <w:rFonts w:cs="Arial"/>
          <w:color w:val="000000" w:themeColor="text1"/>
          <w:sz w:val="20"/>
          <w:szCs w:val="20"/>
        </w:rPr>
      </w:pPr>
    </w:p>
    <w:p w14:paraId="633A9A76" w14:textId="352EC618" w:rsidR="001A0A75" w:rsidRDefault="00234A3E" w:rsidP="00864EF8">
      <w:pPr>
        <w:pStyle w:val="Heading2"/>
        <w:spacing w:before="0" w:line="240" w:lineRule="auto"/>
        <w:rPr>
          <w:rFonts w:ascii="Arial" w:hAnsi="Arial" w:cs="Arial"/>
          <w:i/>
          <w:iCs/>
          <w:color w:val="000000" w:themeColor="text1"/>
          <w:sz w:val="20"/>
          <w:szCs w:val="20"/>
        </w:rPr>
      </w:pPr>
      <w:r w:rsidRPr="00864EF8">
        <w:rPr>
          <w:rFonts w:ascii="Arial" w:hAnsi="Arial" w:cs="Arial"/>
          <w:i/>
          <w:iCs/>
          <w:color w:val="000000" w:themeColor="text1"/>
          <w:sz w:val="20"/>
          <w:szCs w:val="20"/>
        </w:rPr>
        <w:t>4.4 Interpreting the Enrollment-Progression-Assessment Pathway</w:t>
      </w:r>
    </w:p>
    <w:p w14:paraId="60D8CEB2" w14:textId="77777777" w:rsidR="00864EF8" w:rsidRPr="00864EF8" w:rsidRDefault="00864EF8" w:rsidP="00864EF8">
      <w:pPr>
        <w:spacing w:after="0" w:line="240" w:lineRule="auto"/>
      </w:pPr>
    </w:p>
    <w:p w14:paraId="5AA83D5F" w14:textId="63196007" w:rsidR="00776C5B" w:rsidRPr="004A2599" w:rsidRDefault="513EC8B0" w:rsidP="00776C5B">
      <w:pPr>
        <w:ind w:firstLine="720"/>
        <w:jc w:val="both"/>
        <w:rPr>
          <w:rFonts w:cs="Arial"/>
          <w:color w:val="000000" w:themeColor="text1"/>
          <w:sz w:val="20"/>
          <w:szCs w:val="20"/>
        </w:rPr>
      </w:pPr>
      <w:r w:rsidRPr="513EC8B0">
        <w:rPr>
          <w:rFonts w:cs="Arial"/>
          <w:color w:val="000000" w:themeColor="text1"/>
          <w:sz w:val="20"/>
          <w:szCs w:val="20"/>
        </w:rPr>
        <w:t>The available San Miguel data provide information about several points along this pathway but do not capture all the processes occurring between them. Enrollment documents entry into ALS; completion records indicate attainment of a later program milestone; and passer records describe outcomes among learners represented in the relevant assessment population. None of these indicators alone provide a complete account of the learner’s educational journey.</w:t>
      </w:r>
    </w:p>
    <w:p w14:paraId="6113BD52" w14:textId="6A1EDAEE" w:rsidR="00776C5B" w:rsidRPr="004A2599" w:rsidRDefault="00540F54" w:rsidP="00776C5B">
      <w:pPr>
        <w:ind w:firstLine="720"/>
        <w:jc w:val="both"/>
        <w:rPr>
          <w:rFonts w:cs="Arial"/>
          <w:color w:val="000000" w:themeColor="text1"/>
          <w:sz w:val="20"/>
          <w:szCs w:val="20"/>
        </w:rPr>
      </w:pPr>
      <w:r w:rsidRPr="00540F54">
        <w:rPr>
          <w:rFonts w:cs="Arial"/>
          <w:color w:val="000000" w:themeColor="text1"/>
          <w:sz w:val="20"/>
          <w:szCs w:val="20"/>
        </w:rPr>
        <w:t>This distinction is particularly important in alternative education because flexibility and responsiveness to learner circumstances are central features of ALS. Republic Act No. 11510 provides for flexible learning content, duration, and delivery strategies, while the ALS 2.0 framework further emphasizes the transformation of ALS into a quality and relevant second-chance basic education program responsive to the diverse needs and circumstances of its learners (Department of Education [DepEd], 2022; Republic Act No. 11510, 2020). Consequently, enrollment, continued participation, competency development, completion, and assessment should be viewed as related but distinct stages in the learner’s educational pathway.</w:t>
      </w:r>
      <w:r w:rsidR="00776C5B" w:rsidRPr="004A2599">
        <w:rPr>
          <w:rFonts w:cs="Arial"/>
          <w:color w:val="000000" w:themeColor="text1"/>
          <w:sz w:val="20"/>
          <w:szCs w:val="20"/>
        </w:rPr>
        <w:t xml:space="preserve">  </w:t>
      </w:r>
    </w:p>
    <w:p w14:paraId="7E726EC9" w14:textId="327EA7F8"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 xml:space="preserve">Consequently, the enrollment-to-completion gap observed in San Miguel should be treated as a signal for further inquiry rather than evidence of a single underlying problem. Learners may differ in academic readiness, available study time, employment responsibilities, family obligations, transportation access, motivation, and opportunities for instructional support. Research involving Philippine ALS learners has similarly identified intersecting personal, socioeconomic, and accessibility challenges.  </w:t>
      </w:r>
    </w:p>
    <w:p w14:paraId="20DDC478" w14:textId="4D7D087D" w:rsidR="005321BA" w:rsidRPr="004A2599" w:rsidRDefault="513EC8B0" w:rsidP="00776C5B">
      <w:pPr>
        <w:ind w:firstLine="720"/>
        <w:jc w:val="both"/>
        <w:rPr>
          <w:rFonts w:cs="Arial"/>
          <w:color w:val="000000" w:themeColor="text1"/>
          <w:sz w:val="20"/>
          <w:szCs w:val="20"/>
        </w:rPr>
      </w:pPr>
      <w:r w:rsidRPr="513EC8B0">
        <w:rPr>
          <w:rFonts w:cs="Arial"/>
          <w:color w:val="000000" w:themeColor="text1"/>
          <w:sz w:val="20"/>
          <w:szCs w:val="20"/>
        </w:rPr>
        <w:t>This interpretation strengthens the case for a second stage of evidence gathering: a direct learner needs assessment capable of identifying which barriers and learning-support needs are present in San Miguel District.</w:t>
      </w:r>
    </w:p>
    <w:p w14:paraId="76C6F14E" w14:textId="77777777" w:rsidR="005321BA" w:rsidRPr="00864EF8" w:rsidRDefault="00234A3E" w:rsidP="003C54BA">
      <w:pPr>
        <w:pStyle w:val="Heading2"/>
        <w:spacing w:before="0" w:line="240" w:lineRule="auto"/>
        <w:rPr>
          <w:rFonts w:ascii="Arial" w:hAnsi="Arial" w:cs="Arial"/>
          <w:i/>
          <w:iCs/>
          <w:color w:val="000000" w:themeColor="text1"/>
          <w:sz w:val="20"/>
          <w:szCs w:val="20"/>
        </w:rPr>
      </w:pPr>
      <w:r w:rsidRPr="00864EF8">
        <w:rPr>
          <w:rFonts w:ascii="Arial" w:hAnsi="Arial" w:cs="Arial"/>
          <w:i/>
          <w:iCs/>
          <w:color w:val="000000" w:themeColor="text1"/>
          <w:sz w:val="20"/>
          <w:szCs w:val="20"/>
        </w:rPr>
        <w:t>4.5 Existing Learning Structure Relevant to Extension Support</w:t>
      </w:r>
    </w:p>
    <w:p w14:paraId="6145C4C2" w14:textId="77777777" w:rsidR="009976DC" w:rsidRPr="00864EF8" w:rsidRDefault="009976DC" w:rsidP="003C54BA">
      <w:pPr>
        <w:spacing w:line="240" w:lineRule="auto"/>
        <w:rPr>
          <w:i/>
          <w:iCs/>
        </w:rPr>
      </w:pPr>
    </w:p>
    <w:p w14:paraId="26C74999" w14:textId="153C76C1" w:rsidR="00776C5B" w:rsidRPr="004A2599" w:rsidRDefault="513EC8B0" w:rsidP="513EC8B0">
      <w:pPr>
        <w:ind w:firstLine="720"/>
        <w:jc w:val="both"/>
        <w:rPr>
          <w:rFonts w:cs="Arial"/>
          <w:color w:val="000000" w:themeColor="text1"/>
          <w:sz w:val="20"/>
          <w:szCs w:val="20"/>
        </w:rPr>
      </w:pPr>
      <w:r w:rsidRPr="513EC8B0">
        <w:rPr>
          <w:rFonts w:cs="Arial"/>
          <w:color w:val="000000" w:themeColor="text1"/>
          <w:sz w:val="20"/>
          <w:szCs w:val="20"/>
        </w:rPr>
        <w:t xml:space="preserve">San Miguel District already possesses important mechanisms upon which an extension initiative can build. ALS implementers undertake an existing </w:t>
      </w:r>
      <w:r w:rsidRPr="513EC8B0">
        <w:rPr>
          <w:rFonts w:eastAsia="Arial" w:cs="Arial"/>
          <w:sz w:val="20"/>
          <w:szCs w:val="20"/>
        </w:rPr>
        <w:t>functional literacy</w:t>
      </w:r>
      <w:r w:rsidRPr="513EC8B0">
        <w:rPr>
          <w:rFonts w:cs="Arial"/>
          <w:color w:val="000000" w:themeColor="text1"/>
          <w:sz w:val="20"/>
          <w:szCs w:val="20"/>
        </w:rPr>
        <w:t xml:space="preserve"> assessment and learner classification process. Consequently, an extension project should not create a parallel placement mechanism. Instead, existing assessment information can serve as an initial basis for differentiating learning support. Such an approach is consistent with the direction of ALS 2.0, which seeks to strengthen the quality and relevance of second-chance basic education and recognizes the need for learning provision responsive to the varied backgrounds and circumstances of ALS learners (DepEd, 2022). The existing ALS curricular structure therefore provides the appropriate foundation for extension support rather than requiring the development of a separate curriculum.</w:t>
      </w:r>
    </w:p>
    <w:p w14:paraId="505CE468" w14:textId="5AA495B4"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 xml:space="preserve">This approach is consistent with the philosophy of the enhanced ALS curriculum. DepEd describes the curriculum as contextualized and substantially aligned with formal K to 12 </w:t>
      </w:r>
      <w:proofErr w:type="gramStart"/>
      <w:r w:rsidRPr="004A2599">
        <w:rPr>
          <w:rFonts w:cs="Arial"/>
          <w:color w:val="000000" w:themeColor="text1"/>
          <w:sz w:val="20"/>
          <w:szCs w:val="20"/>
        </w:rPr>
        <w:t>education</w:t>
      </w:r>
      <w:proofErr w:type="gramEnd"/>
      <w:r w:rsidRPr="004A2599">
        <w:rPr>
          <w:rFonts w:cs="Arial"/>
          <w:color w:val="000000" w:themeColor="text1"/>
          <w:sz w:val="20"/>
          <w:szCs w:val="20"/>
        </w:rPr>
        <w:t xml:space="preserve"> while deliberately recognizing learners’ prior learning and differing circumstances. Its learning strands encompass communication, scientific literacy and critical thinking, mathematical and problem-solving skills, life and career skills, understanding the self and society, and digital citizenship.  </w:t>
      </w:r>
    </w:p>
    <w:p w14:paraId="7777EDF2" w14:textId="7710029D" w:rsidR="00776C5B" w:rsidRPr="004A2599" w:rsidRDefault="00776C5B" w:rsidP="00776C5B">
      <w:pPr>
        <w:ind w:firstLine="720"/>
        <w:jc w:val="both"/>
        <w:rPr>
          <w:rFonts w:cs="Arial"/>
          <w:color w:val="000000" w:themeColor="text1"/>
          <w:sz w:val="20"/>
          <w:szCs w:val="20"/>
        </w:rPr>
      </w:pPr>
      <w:r w:rsidRPr="004A2599">
        <w:rPr>
          <w:rFonts w:cs="Arial"/>
          <w:color w:val="000000" w:themeColor="text1"/>
          <w:sz w:val="20"/>
          <w:szCs w:val="20"/>
        </w:rPr>
        <w:t>The learning resources available in San Miguel District similarly cover Digital Citizenship, English, Filipino, Life and Career Skills, Math, Science, and Understanding the Life and Society. These resources provide a curricular foundation for supplementary intervention. The role of an extension project should therefore not be to develop an alternative curriculum but to help learners access, understand, practice, and apply competencies already embedded in ALS.</w:t>
      </w:r>
    </w:p>
    <w:p w14:paraId="39C34501" w14:textId="30C92F63" w:rsidR="00864EF8" w:rsidRPr="004A2599" w:rsidRDefault="513EC8B0" w:rsidP="513EC8B0">
      <w:pPr>
        <w:ind w:firstLine="720"/>
        <w:jc w:val="both"/>
        <w:rPr>
          <w:rFonts w:cs="Arial"/>
          <w:color w:val="000000" w:themeColor="text1"/>
          <w:sz w:val="20"/>
          <w:szCs w:val="20"/>
        </w:rPr>
      </w:pPr>
      <w:r w:rsidRPr="513EC8B0">
        <w:rPr>
          <w:rFonts w:cs="Arial"/>
          <w:color w:val="000000" w:themeColor="text1"/>
          <w:sz w:val="20"/>
          <w:szCs w:val="20"/>
        </w:rPr>
        <w:t xml:space="preserve">Existing ALS learning resources provide an important foundation upon which supplementary educational support may be developed. UNESCO (2019) documented collaborative efforts with the Department of Education to map and develop learning resources corresponding to the ALS learning strands, including materials intended for learners and instructional use. Moreover, the development of the </w:t>
      </w:r>
      <w:r w:rsidRPr="513EC8B0">
        <w:rPr>
          <w:rFonts w:eastAsia="Arial" w:cs="Arial"/>
          <w:sz w:val="20"/>
          <w:szCs w:val="20"/>
        </w:rPr>
        <w:t>The Accreditation</w:t>
      </w:r>
      <w:r w:rsidRPr="513EC8B0">
        <w:rPr>
          <w:rFonts w:cs="Arial"/>
          <w:color w:val="000000" w:themeColor="text1"/>
          <w:sz w:val="20"/>
          <w:szCs w:val="20"/>
        </w:rPr>
        <w:t xml:space="preserve"> and Equivalency Readiness Test framework emphasized the use of assessment to identify learner strengths and weaknesses and determine the need for additional learning interventions (UNESCO, 2021). Taken together, these initiatives support an approach in which existing ALS materials and assessment information serve as the foundation for targeted supplementary learning support rather than the creation of a separate curriculum.</w:t>
      </w:r>
    </w:p>
    <w:p w14:paraId="54AD7D5B" w14:textId="1EAF005A" w:rsidR="009976DC" w:rsidRPr="00864EF8" w:rsidRDefault="00234A3E" w:rsidP="00864EF8">
      <w:pPr>
        <w:pStyle w:val="Heading2"/>
        <w:spacing w:before="0" w:line="240" w:lineRule="auto"/>
        <w:rPr>
          <w:rFonts w:ascii="Arial" w:hAnsi="Arial" w:cs="Arial"/>
          <w:i/>
          <w:iCs/>
          <w:color w:val="000000" w:themeColor="text1"/>
          <w:sz w:val="20"/>
          <w:szCs w:val="20"/>
        </w:rPr>
      </w:pPr>
      <w:r w:rsidRPr="00864EF8">
        <w:rPr>
          <w:rFonts w:ascii="Arial" w:hAnsi="Arial" w:cs="Arial"/>
          <w:i/>
          <w:iCs/>
          <w:color w:val="000000" w:themeColor="text1"/>
          <w:sz w:val="20"/>
          <w:szCs w:val="20"/>
        </w:rPr>
        <w:t>4.6 Identified Evidence Gaps</w:t>
      </w:r>
    </w:p>
    <w:p w14:paraId="2093DFDE" w14:textId="77777777" w:rsidR="009976DC" w:rsidRPr="009976DC" w:rsidRDefault="009976DC" w:rsidP="00864EF8">
      <w:pPr>
        <w:spacing w:after="0" w:line="240" w:lineRule="auto"/>
      </w:pPr>
    </w:p>
    <w:p w14:paraId="24AFC681" w14:textId="77777777" w:rsidR="005321BA" w:rsidRPr="004A2599" w:rsidRDefault="00234A3E" w:rsidP="00776C5B">
      <w:pPr>
        <w:pStyle w:val="ListBullet"/>
        <w:ind w:left="900"/>
        <w:rPr>
          <w:rFonts w:cs="Arial"/>
          <w:color w:val="000000" w:themeColor="text1"/>
          <w:sz w:val="20"/>
          <w:szCs w:val="20"/>
        </w:rPr>
      </w:pPr>
      <w:r w:rsidRPr="004A2599">
        <w:rPr>
          <w:rFonts w:cs="Arial"/>
          <w:color w:val="000000" w:themeColor="text1"/>
          <w:sz w:val="20"/>
          <w:szCs w:val="20"/>
        </w:rPr>
        <w:t>the denominator and reporting rule used for the official completion percentages;</w:t>
      </w:r>
    </w:p>
    <w:p w14:paraId="065F0CF9" w14:textId="77777777" w:rsidR="005321BA" w:rsidRPr="004A2599" w:rsidRDefault="00234A3E" w:rsidP="00776C5B">
      <w:pPr>
        <w:pStyle w:val="ListBullet"/>
        <w:ind w:left="900"/>
        <w:rPr>
          <w:rFonts w:cs="Arial"/>
          <w:color w:val="000000" w:themeColor="text1"/>
          <w:sz w:val="20"/>
          <w:szCs w:val="20"/>
        </w:rPr>
      </w:pPr>
      <w:r w:rsidRPr="004A2599">
        <w:rPr>
          <w:rFonts w:cs="Arial"/>
          <w:color w:val="000000" w:themeColor="text1"/>
          <w:sz w:val="20"/>
          <w:szCs w:val="20"/>
        </w:rPr>
        <w:t>the denominator and reporting population used for the official passing percentages;</w:t>
      </w:r>
    </w:p>
    <w:p w14:paraId="0781523A" w14:textId="77777777" w:rsidR="005321BA" w:rsidRPr="004A2599" w:rsidRDefault="00234A3E" w:rsidP="00776C5B">
      <w:pPr>
        <w:pStyle w:val="ListBullet"/>
        <w:ind w:left="900"/>
        <w:rPr>
          <w:rFonts w:cs="Arial"/>
          <w:color w:val="000000" w:themeColor="text1"/>
          <w:sz w:val="20"/>
          <w:szCs w:val="20"/>
        </w:rPr>
      </w:pPr>
      <w:r w:rsidRPr="004A2599">
        <w:rPr>
          <w:rFonts w:cs="Arial"/>
          <w:color w:val="000000" w:themeColor="text1"/>
          <w:sz w:val="20"/>
          <w:szCs w:val="20"/>
        </w:rPr>
        <w:t>the specific ALS module areas and competencies in which learners most need additional support;</w:t>
      </w:r>
    </w:p>
    <w:p w14:paraId="073C1D2B" w14:textId="77777777" w:rsidR="005321BA" w:rsidRPr="004A2599" w:rsidRDefault="00234A3E" w:rsidP="00776C5B">
      <w:pPr>
        <w:pStyle w:val="ListBullet"/>
        <w:ind w:left="900"/>
        <w:rPr>
          <w:rFonts w:cs="Arial"/>
          <w:color w:val="000000" w:themeColor="text1"/>
          <w:sz w:val="20"/>
          <w:szCs w:val="20"/>
        </w:rPr>
      </w:pPr>
      <w:r w:rsidRPr="004A2599">
        <w:rPr>
          <w:rFonts w:cs="Arial"/>
          <w:color w:val="000000" w:themeColor="text1"/>
          <w:sz w:val="20"/>
          <w:szCs w:val="20"/>
        </w:rPr>
        <w:t>learner-reported barriers to regular participation and completion;</w:t>
      </w:r>
    </w:p>
    <w:p w14:paraId="2837A089" w14:textId="77777777" w:rsidR="005321BA" w:rsidRPr="004A2599" w:rsidRDefault="00234A3E" w:rsidP="00776C5B">
      <w:pPr>
        <w:pStyle w:val="ListBullet"/>
        <w:ind w:left="900"/>
        <w:rPr>
          <w:rFonts w:cs="Arial"/>
          <w:color w:val="000000" w:themeColor="text1"/>
          <w:sz w:val="20"/>
          <w:szCs w:val="20"/>
        </w:rPr>
      </w:pPr>
      <w:r w:rsidRPr="004A2599">
        <w:rPr>
          <w:rFonts w:cs="Arial"/>
          <w:color w:val="000000" w:themeColor="text1"/>
          <w:sz w:val="20"/>
          <w:szCs w:val="20"/>
        </w:rPr>
        <w:t>the accessibility and transportation constraints affecting attendance; and</w:t>
      </w:r>
    </w:p>
    <w:p w14:paraId="79167E29" w14:textId="77777777" w:rsidR="005321BA" w:rsidRPr="004A2599" w:rsidRDefault="00234A3E" w:rsidP="00776C5B">
      <w:pPr>
        <w:pStyle w:val="ListBullet"/>
        <w:ind w:left="900"/>
        <w:rPr>
          <w:rFonts w:cs="Arial"/>
          <w:color w:val="000000" w:themeColor="text1"/>
          <w:sz w:val="20"/>
          <w:szCs w:val="20"/>
        </w:rPr>
      </w:pPr>
      <w:r w:rsidRPr="004A2599">
        <w:rPr>
          <w:rFonts w:cs="Arial"/>
          <w:color w:val="000000" w:themeColor="text1"/>
          <w:sz w:val="20"/>
          <w:szCs w:val="20"/>
        </w:rPr>
        <w:t xml:space="preserve">the extent to which individualized, </w:t>
      </w:r>
      <w:proofErr w:type="gramStart"/>
      <w:r w:rsidRPr="004A2599">
        <w:rPr>
          <w:rFonts w:cs="Arial"/>
          <w:color w:val="000000" w:themeColor="text1"/>
          <w:sz w:val="20"/>
          <w:szCs w:val="20"/>
        </w:rPr>
        <w:t>small-group</w:t>
      </w:r>
      <w:proofErr w:type="gramEnd"/>
      <w:r w:rsidRPr="004A2599">
        <w:rPr>
          <w:rFonts w:cs="Arial"/>
          <w:color w:val="000000" w:themeColor="text1"/>
          <w:sz w:val="20"/>
          <w:szCs w:val="20"/>
        </w:rPr>
        <w:t>, contextualized, or other support approaches are preferred or needed.</w:t>
      </w:r>
    </w:p>
    <w:p w14:paraId="2C7F4935" w14:textId="31B33B51" w:rsidR="00776C5B" w:rsidRDefault="513EC8B0" w:rsidP="00776C5B">
      <w:pPr>
        <w:pStyle w:val="ListBullet"/>
        <w:numPr>
          <w:ilvl w:val="0"/>
          <w:numId w:val="0"/>
        </w:numPr>
        <w:ind w:firstLine="360"/>
        <w:jc w:val="both"/>
        <w:rPr>
          <w:rFonts w:cs="Arial"/>
          <w:color w:val="000000" w:themeColor="text1"/>
          <w:sz w:val="20"/>
          <w:szCs w:val="20"/>
        </w:rPr>
      </w:pPr>
      <w:r w:rsidRPr="513EC8B0">
        <w:rPr>
          <w:rFonts w:cs="Arial"/>
          <w:color w:val="000000" w:themeColor="text1"/>
          <w:sz w:val="20"/>
          <w:szCs w:val="20"/>
        </w:rPr>
        <w:t>These gaps indicate that documentary analysis should function as Phase 1 of an evidence-building process rather than as the sole basis for intervention design. The administrative records establish where further investigation is needed but cannot independently establish what specific intervention each learner requires. A structured learner needs assessment should therefore follow the documentary analysis and examine both academic support needs across the ALS learning areas and contextual barriers affecting participation.</w:t>
      </w:r>
    </w:p>
    <w:p w14:paraId="6725DFC1" w14:textId="77777777" w:rsidR="009976DC" w:rsidRPr="004A2599" w:rsidRDefault="009976DC" w:rsidP="00776C5B">
      <w:pPr>
        <w:pStyle w:val="ListBullet"/>
        <w:numPr>
          <w:ilvl w:val="0"/>
          <w:numId w:val="0"/>
        </w:numPr>
        <w:ind w:firstLine="360"/>
        <w:jc w:val="both"/>
        <w:rPr>
          <w:rFonts w:cs="Arial"/>
          <w:color w:val="000000" w:themeColor="text1"/>
          <w:sz w:val="20"/>
          <w:szCs w:val="20"/>
        </w:rPr>
      </w:pPr>
    </w:p>
    <w:p w14:paraId="6F2682B9" w14:textId="6C637D59" w:rsidR="009976DC" w:rsidRPr="00864EF8" w:rsidRDefault="00234A3E" w:rsidP="00D3391A">
      <w:pPr>
        <w:pStyle w:val="ListNumber"/>
        <w:numPr>
          <w:ilvl w:val="1"/>
          <w:numId w:val="15"/>
        </w:numPr>
        <w:rPr>
          <w:b/>
          <w:bCs/>
          <w:i/>
          <w:iCs/>
        </w:rPr>
      </w:pPr>
      <w:r w:rsidRPr="00864EF8">
        <w:rPr>
          <w:b/>
          <w:bCs/>
          <w:i/>
          <w:iCs/>
        </w:rPr>
        <w:t xml:space="preserve">Implications for </w:t>
      </w:r>
      <w:r w:rsidR="00776C5B" w:rsidRPr="00864EF8">
        <w:rPr>
          <w:b/>
          <w:bCs/>
          <w:i/>
          <w:iCs/>
        </w:rPr>
        <w:t>Educational Extension</w:t>
      </w:r>
    </w:p>
    <w:p w14:paraId="220944F7" w14:textId="5DAAEB2F" w:rsidR="00DC369D" w:rsidRPr="004A2599" w:rsidRDefault="513EC8B0" w:rsidP="513EC8B0">
      <w:pPr>
        <w:ind w:firstLine="720"/>
        <w:jc w:val="both"/>
        <w:rPr>
          <w:rFonts w:cs="Arial"/>
          <w:color w:val="000000" w:themeColor="text1"/>
          <w:sz w:val="20"/>
          <w:szCs w:val="20"/>
        </w:rPr>
      </w:pPr>
      <w:r w:rsidRPr="513EC8B0">
        <w:rPr>
          <w:rFonts w:cs="Arial"/>
          <w:color w:val="000000" w:themeColor="text1"/>
          <w:sz w:val="20"/>
          <w:szCs w:val="20"/>
        </w:rPr>
        <w:t xml:space="preserve">The findings point toward an extension model that is complementary, differentiated, contextualized, accessible, and </w:t>
      </w:r>
      <w:proofErr w:type="gramStart"/>
      <w:r w:rsidRPr="513EC8B0">
        <w:rPr>
          <w:rFonts w:eastAsia="Arial" w:cs="Arial"/>
          <w:sz w:val="20"/>
          <w:szCs w:val="20"/>
        </w:rPr>
        <w:t>evidence-responsive</w:t>
      </w:r>
      <w:proofErr w:type="gramEnd"/>
      <w:r w:rsidRPr="513EC8B0">
        <w:rPr>
          <w:rFonts w:eastAsia="Arial" w:cs="Arial"/>
          <w:sz w:val="20"/>
          <w:szCs w:val="20"/>
        </w:rPr>
        <w:t>.</w:t>
      </w:r>
      <w:r w:rsidRPr="513EC8B0">
        <w:rPr>
          <w:rFonts w:cs="Arial"/>
          <w:color w:val="000000" w:themeColor="text1"/>
          <w:sz w:val="20"/>
          <w:szCs w:val="20"/>
        </w:rPr>
        <w:t xml:space="preserve"> Such an approach is consistent with the ALS Act’s emphasis on flexible and appropriate learning opportunities and with SDG 4’s broader commitment to inclusive quality education and lifelong learning.  </w:t>
      </w:r>
    </w:p>
    <w:p w14:paraId="74ED7563" w14:textId="58A76FDA" w:rsidR="005321BA" w:rsidRPr="004A2599" w:rsidRDefault="00DC369D" w:rsidP="00DC369D">
      <w:pPr>
        <w:ind w:firstLine="720"/>
        <w:jc w:val="both"/>
        <w:rPr>
          <w:rFonts w:cs="Arial"/>
          <w:color w:val="000000" w:themeColor="text1"/>
          <w:sz w:val="20"/>
          <w:szCs w:val="20"/>
        </w:rPr>
      </w:pPr>
      <w:r w:rsidRPr="004A2599">
        <w:rPr>
          <w:rFonts w:cs="Arial"/>
          <w:color w:val="000000" w:themeColor="text1"/>
          <w:sz w:val="20"/>
          <w:szCs w:val="20"/>
        </w:rPr>
        <w:t>The extension role of a higher education institution should therefore be conceptualized not as replacing ALS instruction but as adding instructional capacity around the existing system. Faculty expertise, contextualized learning resources, tutorial support, formative assessment, and progress monitoring can be mobilized in partnership with ALS implementers while preserving DepEd’s responsibility for curriculum, learner placement, and official assessment.</w:t>
      </w:r>
    </w:p>
    <w:tbl>
      <w:tblPr>
        <w:tblStyle w:val="TableGrid"/>
        <w:tblW w:w="0" w:type="auto"/>
        <w:tblLook w:val="04A0" w:firstRow="1" w:lastRow="0" w:firstColumn="1" w:lastColumn="0" w:noHBand="0" w:noVBand="1"/>
      </w:tblPr>
      <w:tblGrid>
        <w:gridCol w:w="3212"/>
        <w:gridCol w:w="3214"/>
        <w:gridCol w:w="3212"/>
      </w:tblGrid>
      <w:tr w:rsidR="005321BA" w:rsidRPr="004A2599" w14:paraId="4238A378" w14:textId="77777777" w:rsidTr="513EC8B0">
        <w:tc>
          <w:tcPr>
            <w:tcW w:w="3216" w:type="dxa"/>
          </w:tcPr>
          <w:p w14:paraId="54BD3A65" w14:textId="77777777" w:rsidR="005321BA" w:rsidRPr="00F5256E" w:rsidRDefault="00234A3E" w:rsidP="00F5256E">
            <w:pPr>
              <w:jc w:val="center"/>
              <w:rPr>
                <w:rFonts w:cs="Arial"/>
                <w:i/>
                <w:iCs/>
                <w:color w:val="000000" w:themeColor="text1"/>
                <w:sz w:val="20"/>
                <w:szCs w:val="20"/>
              </w:rPr>
            </w:pPr>
            <w:r w:rsidRPr="00F5256E">
              <w:rPr>
                <w:rFonts w:cs="Arial"/>
                <w:i/>
                <w:iCs/>
                <w:color w:val="000000" w:themeColor="text1"/>
                <w:sz w:val="20"/>
                <w:szCs w:val="20"/>
              </w:rPr>
              <w:t>Baseline Evidence/Gap</w:t>
            </w:r>
          </w:p>
        </w:tc>
        <w:tc>
          <w:tcPr>
            <w:tcW w:w="3216" w:type="dxa"/>
          </w:tcPr>
          <w:p w14:paraId="7A761007" w14:textId="77777777" w:rsidR="005321BA" w:rsidRPr="00F5256E" w:rsidRDefault="00234A3E" w:rsidP="00F5256E">
            <w:pPr>
              <w:jc w:val="center"/>
              <w:rPr>
                <w:rFonts w:cs="Arial"/>
                <w:i/>
                <w:iCs/>
                <w:color w:val="000000" w:themeColor="text1"/>
                <w:sz w:val="20"/>
                <w:szCs w:val="20"/>
              </w:rPr>
            </w:pPr>
            <w:r w:rsidRPr="00F5256E">
              <w:rPr>
                <w:rFonts w:cs="Arial"/>
                <w:i/>
                <w:iCs/>
                <w:color w:val="000000" w:themeColor="text1"/>
                <w:sz w:val="20"/>
                <w:szCs w:val="20"/>
              </w:rPr>
              <w:t>Extension Design Implication</w:t>
            </w:r>
          </w:p>
        </w:tc>
        <w:tc>
          <w:tcPr>
            <w:tcW w:w="3216" w:type="dxa"/>
          </w:tcPr>
          <w:p w14:paraId="1E51C67E" w14:textId="43A467A0" w:rsidR="005321BA" w:rsidRPr="00F5256E" w:rsidRDefault="00F5256E" w:rsidP="00F5256E">
            <w:pPr>
              <w:jc w:val="center"/>
              <w:rPr>
                <w:rFonts w:cs="Arial"/>
                <w:i/>
                <w:iCs/>
                <w:color w:val="000000" w:themeColor="text1"/>
                <w:sz w:val="20"/>
                <w:szCs w:val="20"/>
              </w:rPr>
            </w:pPr>
            <w:r w:rsidRPr="00F5256E">
              <w:rPr>
                <w:rFonts w:cs="Arial"/>
                <w:i/>
                <w:iCs/>
                <w:color w:val="000000" w:themeColor="text1"/>
                <w:sz w:val="20"/>
                <w:szCs w:val="20"/>
              </w:rPr>
              <w:t>Project</w:t>
            </w:r>
            <w:r w:rsidR="00234A3E" w:rsidRPr="00F5256E">
              <w:rPr>
                <w:rFonts w:cs="Arial"/>
                <w:i/>
                <w:iCs/>
                <w:color w:val="000000" w:themeColor="text1"/>
                <w:sz w:val="20"/>
                <w:szCs w:val="20"/>
              </w:rPr>
              <w:t xml:space="preserve"> Response</w:t>
            </w:r>
          </w:p>
        </w:tc>
      </w:tr>
      <w:tr w:rsidR="005321BA" w:rsidRPr="004A2599" w14:paraId="176FF69E" w14:textId="77777777" w:rsidTr="513EC8B0">
        <w:tc>
          <w:tcPr>
            <w:tcW w:w="3216" w:type="dxa"/>
          </w:tcPr>
          <w:p w14:paraId="11E40851" w14:textId="77777777" w:rsidR="005321BA" w:rsidRPr="004A2599" w:rsidRDefault="00234A3E">
            <w:pPr>
              <w:rPr>
                <w:rFonts w:cs="Arial"/>
                <w:color w:val="000000" w:themeColor="text1"/>
                <w:sz w:val="20"/>
                <w:szCs w:val="20"/>
              </w:rPr>
            </w:pPr>
            <w:r w:rsidRPr="004A2599">
              <w:rPr>
                <w:rFonts w:cs="Arial"/>
                <w:color w:val="000000" w:themeColor="text1"/>
                <w:sz w:val="20"/>
                <w:szCs w:val="20"/>
              </w:rPr>
              <w:t>JHS is the dominant enrollment group.</w:t>
            </w:r>
          </w:p>
        </w:tc>
        <w:tc>
          <w:tcPr>
            <w:tcW w:w="3216" w:type="dxa"/>
          </w:tcPr>
          <w:p w14:paraId="741FB71B" w14:textId="77777777" w:rsidR="005321BA" w:rsidRPr="004A2599" w:rsidRDefault="00234A3E">
            <w:pPr>
              <w:rPr>
                <w:rFonts w:cs="Arial"/>
                <w:color w:val="000000" w:themeColor="text1"/>
                <w:sz w:val="20"/>
                <w:szCs w:val="20"/>
              </w:rPr>
            </w:pPr>
            <w:r w:rsidRPr="004A2599">
              <w:rPr>
                <w:rFonts w:cs="Arial"/>
                <w:color w:val="000000" w:themeColor="text1"/>
                <w:sz w:val="20"/>
                <w:szCs w:val="20"/>
              </w:rPr>
              <w:t>Tutorial capacity should be prepared primarily for JHS while remaining inclusive of other ALS levels.</w:t>
            </w:r>
          </w:p>
        </w:tc>
        <w:tc>
          <w:tcPr>
            <w:tcW w:w="3216" w:type="dxa"/>
          </w:tcPr>
          <w:p w14:paraId="7FC08309" w14:textId="0BC07868" w:rsidR="005321BA" w:rsidRPr="004A2599" w:rsidRDefault="513EC8B0" w:rsidP="513EC8B0">
            <w:pPr>
              <w:rPr>
                <w:rFonts w:cs="Arial"/>
                <w:color w:val="000000" w:themeColor="text1"/>
                <w:sz w:val="20"/>
                <w:szCs w:val="20"/>
              </w:rPr>
            </w:pPr>
            <w:r w:rsidRPr="513EC8B0">
              <w:rPr>
                <w:rFonts w:cs="Arial"/>
                <w:color w:val="000000" w:themeColor="text1"/>
                <w:sz w:val="20"/>
                <w:szCs w:val="20"/>
              </w:rPr>
              <w:t xml:space="preserve">Prioritize tutor/resource allocation according to </w:t>
            </w:r>
            <w:r w:rsidRPr="513EC8B0">
              <w:rPr>
                <w:rFonts w:eastAsia="Arial" w:cs="Arial"/>
                <w:sz w:val="20"/>
                <w:szCs w:val="20"/>
              </w:rPr>
              <w:t>the confirmed</w:t>
            </w:r>
            <w:r w:rsidRPr="513EC8B0">
              <w:rPr>
                <w:rFonts w:cs="Arial"/>
                <w:color w:val="000000" w:themeColor="text1"/>
                <w:sz w:val="20"/>
                <w:szCs w:val="20"/>
              </w:rPr>
              <w:t xml:space="preserve"> beneficiary profile.</w:t>
            </w:r>
          </w:p>
        </w:tc>
      </w:tr>
      <w:tr w:rsidR="005321BA" w:rsidRPr="004A2599" w14:paraId="12E99D05" w14:textId="77777777" w:rsidTr="513EC8B0">
        <w:tc>
          <w:tcPr>
            <w:tcW w:w="3216" w:type="dxa"/>
          </w:tcPr>
          <w:p w14:paraId="3D54D919" w14:textId="77777777" w:rsidR="005321BA" w:rsidRPr="004A2599" w:rsidRDefault="00234A3E">
            <w:pPr>
              <w:rPr>
                <w:rFonts w:cs="Arial"/>
                <w:color w:val="000000" w:themeColor="text1"/>
                <w:sz w:val="20"/>
                <w:szCs w:val="20"/>
              </w:rPr>
            </w:pPr>
            <w:r w:rsidRPr="004A2599">
              <w:rPr>
                <w:rFonts w:cs="Arial"/>
                <w:color w:val="000000" w:themeColor="text1"/>
                <w:sz w:val="20"/>
                <w:szCs w:val="20"/>
              </w:rPr>
              <w:t>Recorded completers are fewer than total JHS enrollees.</w:t>
            </w:r>
          </w:p>
        </w:tc>
        <w:tc>
          <w:tcPr>
            <w:tcW w:w="3216" w:type="dxa"/>
          </w:tcPr>
          <w:p w14:paraId="7B197BC8" w14:textId="77777777" w:rsidR="005321BA" w:rsidRPr="004A2599" w:rsidRDefault="00234A3E">
            <w:pPr>
              <w:rPr>
                <w:rFonts w:cs="Arial"/>
                <w:color w:val="000000" w:themeColor="text1"/>
                <w:sz w:val="20"/>
                <w:szCs w:val="20"/>
              </w:rPr>
            </w:pPr>
            <w:r w:rsidRPr="004A2599">
              <w:rPr>
                <w:rFonts w:cs="Arial"/>
                <w:color w:val="000000" w:themeColor="text1"/>
                <w:sz w:val="20"/>
                <w:szCs w:val="20"/>
              </w:rPr>
              <w:t>Support should address progression and sustained learning, not only final assessment preparation.</w:t>
            </w:r>
          </w:p>
        </w:tc>
        <w:tc>
          <w:tcPr>
            <w:tcW w:w="3216" w:type="dxa"/>
          </w:tcPr>
          <w:p w14:paraId="1BAE907C" w14:textId="1E414C53" w:rsidR="005321BA" w:rsidRPr="004A2599" w:rsidRDefault="513EC8B0">
            <w:pPr>
              <w:rPr>
                <w:rFonts w:cs="Arial"/>
                <w:color w:val="000000" w:themeColor="text1"/>
                <w:sz w:val="20"/>
                <w:szCs w:val="20"/>
              </w:rPr>
            </w:pPr>
            <w:r w:rsidRPr="513EC8B0">
              <w:rPr>
                <w:rFonts w:cs="Arial"/>
                <w:color w:val="000000" w:themeColor="text1"/>
                <w:sz w:val="20"/>
                <w:szCs w:val="20"/>
              </w:rPr>
              <w:t>Regular, twice-monthly learning support with continuous monitoring.</w:t>
            </w:r>
          </w:p>
        </w:tc>
      </w:tr>
      <w:tr w:rsidR="005321BA" w:rsidRPr="004A2599" w14:paraId="7EDA383C" w14:textId="77777777" w:rsidTr="513EC8B0">
        <w:tc>
          <w:tcPr>
            <w:tcW w:w="3216" w:type="dxa"/>
          </w:tcPr>
          <w:p w14:paraId="27399698" w14:textId="77777777" w:rsidR="005321BA" w:rsidRPr="004A2599" w:rsidRDefault="00234A3E">
            <w:pPr>
              <w:rPr>
                <w:rFonts w:cs="Arial"/>
                <w:color w:val="000000" w:themeColor="text1"/>
                <w:sz w:val="20"/>
                <w:szCs w:val="20"/>
              </w:rPr>
            </w:pPr>
            <w:r w:rsidRPr="004A2599">
              <w:rPr>
                <w:rFonts w:cs="Arial"/>
                <w:color w:val="000000" w:themeColor="text1"/>
                <w:sz w:val="20"/>
                <w:szCs w:val="20"/>
              </w:rPr>
              <w:t>Reported passer percentages are stronger than the enrollment-to-completion pattern might imply.</w:t>
            </w:r>
          </w:p>
        </w:tc>
        <w:tc>
          <w:tcPr>
            <w:tcW w:w="3216" w:type="dxa"/>
          </w:tcPr>
          <w:p w14:paraId="67530D86" w14:textId="77777777" w:rsidR="005321BA" w:rsidRPr="004A2599" w:rsidRDefault="00234A3E">
            <w:pPr>
              <w:rPr>
                <w:rFonts w:cs="Arial"/>
                <w:color w:val="000000" w:themeColor="text1"/>
                <w:sz w:val="20"/>
                <w:szCs w:val="20"/>
              </w:rPr>
            </w:pPr>
            <w:r w:rsidRPr="004A2599">
              <w:rPr>
                <w:rFonts w:cs="Arial"/>
                <w:color w:val="000000" w:themeColor="text1"/>
                <w:sz w:val="20"/>
                <w:szCs w:val="20"/>
              </w:rPr>
              <w:t>Do not define the problem simply as poor examination performance.</w:t>
            </w:r>
          </w:p>
        </w:tc>
        <w:tc>
          <w:tcPr>
            <w:tcW w:w="3216" w:type="dxa"/>
          </w:tcPr>
          <w:p w14:paraId="783AB261" w14:textId="77777777" w:rsidR="005321BA" w:rsidRPr="004A2599" w:rsidRDefault="00234A3E">
            <w:pPr>
              <w:rPr>
                <w:rFonts w:cs="Arial"/>
                <w:color w:val="000000" w:themeColor="text1"/>
                <w:sz w:val="20"/>
                <w:szCs w:val="20"/>
              </w:rPr>
            </w:pPr>
            <w:r w:rsidRPr="004A2599">
              <w:rPr>
                <w:rFonts w:cs="Arial"/>
                <w:color w:val="000000" w:themeColor="text1"/>
                <w:sz w:val="20"/>
                <w:szCs w:val="20"/>
              </w:rPr>
              <w:t>Focus on competency development, continued participation, and progression.</w:t>
            </w:r>
          </w:p>
        </w:tc>
      </w:tr>
      <w:tr w:rsidR="005321BA" w:rsidRPr="004A2599" w14:paraId="539356A9" w14:textId="77777777" w:rsidTr="513EC8B0">
        <w:tc>
          <w:tcPr>
            <w:tcW w:w="3216" w:type="dxa"/>
          </w:tcPr>
          <w:p w14:paraId="14AC3F86" w14:textId="257FD614" w:rsidR="005321BA" w:rsidRPr="004A2599" w:rsidRDefault="513EC8B0" w:rsidP="513EC8B0">
            <w:pPr>
              <w:rPr>
                <w:rFonts w:cs="Arial"/>
                <w:color w:val="000000" w:themeColor="text1"/>
                <w:sz w:val="20"/>
                <w:szCs w:val="20"/>
              </w:rPr>
            </w:pPr>
            <w:r w:rsidRPr="513EC8B0">
              <w:rPr>
                <w:rFonts w:eastAsia="Arial" w:cs="Arial"/>
                <w:sz w:val="20"/>
                <w:szCs w:val="20"/>
              </w:rPr>
              <w:t>The existing functional literacy</w:t>
            </w:r>
            <w:r w:rsidRPr="513EC8B0">
              <w:rPr>
                <w:rFonts w:cs="Arial"/>
                <w:color w:val="000000" w:themeColor="text1"/>
                <w:sz w:val="20"/>
                <w:szCs w:val="20"/>
              </w:rPr>
              <w:t xml:space="preserve"> assessment is already used by ALS.</w:t>
            </w:r>
          </w:p>
        </w:tc>
        <w:tc>
          <w:tcPr>
            <w:tcW w:w="3216" w:type="dxa"/>
          </w:tcPr>
          <w:p w14:paraId="2F0DB68C" w14:textId="77777777" w:rsidR="005321BA" w:rsidRPr="004A2599" w:rsidRDefault="00234A3E">
            <w:pPr>
              <w:rPr>
                <w:rFonts w:cs="Arial"/>
                <w:color w:val="000000" w:themeColor="text1"/>
                <w:sz w:val="20"/>
                <w:szCs w:val="20"/>
              </w:rPr>
            </w:pPr>
            <w:r w:rsidRPr="004A2599">
              <w:rPr>
                <w:rFonts w:cs="Arial"/>
                <w:color w:val="000000" w:themeColor="text1"/>
                <w:sz w:val="20"/>
                <w:szCs w:val="20"/>
              </w:rPr>
              <w:t>Avoid duplicate placement/classification procedures.</w:t>
            </w:r>
          </w:p>
        </w:tc>
        <w:tc>
          <w:tcPr>
            <w:tcW w:w="3216" w:type="dxa"/>
          </w:tcPr>
          <w:p w14:paraId="3C20DB8C" w14:textId="77777777" w:rsidR="005321BA" w:rsidRPr="004A2599" w:rsidRDefault="00234A3E">
            <w:pPr>
              <w:rPr>
                <w:rFonts w:cs="Arial"/>
                <w:color w:val="000000" w:themeColor="text1"/>
                <w:sz w:val="20"/>
                <w:szCs w:val="20"/>
              </w:rPr>
            </w:pPr>
            <w:r w:rsidRPr="004A2599">
              <w:rPr>
                <w:rFonts w:cs="Arial"/>
                <w:color w:val="000000" w:themeColor="text1"/>
                <w:sz w:val="20"/>
                <w:szCs w:val="20"/>
              </w:rPr>
              <w:t>Use ALS-provided learner levels as an input to tutorial planning.</w:t>
            </w:r>
          </w:p>
        </w:tc>
      </w:tr>
      <w:tr w:rsidR="005321BA" w:rsidRPr="004A2599" w14:paraId="3F5356A1" w14:textId="77777777" w:rsidTr="513EC8B0">
        <w:tc>
          <w:tcPr>
            <w:tcW w:w="3216" w:type="dxa"/>
          </w:tcPr>
          <w:p w14:paraId="56707233" w14:textId="77777777" w:rsidR="005321BA" w:rsidRPr="004A2599" w:rsidRDefault="00234A3E">
            <w:pPr>
              <w:rPr>
                <w:rFonts w:cs="Arial"/>
                <w:color w:val="000000" w:themeColor="text1"/>
                <w:sz w:val="20"/>
                <w:szCs w:val="20"/>
              </w:rPr>
            </w:pPr>
            <w:r w:rsidRPr="004A2599">
              <w:rPr>
                <w:rFonts w:cs="Arial"/>
                <w:color w:val="000000" w:themeColor="text1"/>
                <w:sz w:val="20"/>
                <w:szCs w:val="20"/>
              </w:rPr>
              <w:t>Seven ALS module areas are available, but priority difficulties are not yet known.</w:t>
            </w:r>
          </w:p>
        </w:tc>
        <w:tc>
          <w:tcPr>
            <w:tcW w:w="3216" w:type="dxa"/>
          </w:tcPr>
          <w:p w14:paraId="32DA0271" w14:textId="77777777" w:rsidR="005321BA" w:rsidRPr="004A2599" w:rsidRDefault="00234A3E">
            <w:pPr>
              <w:rPr>
                <w:rFonts w:cs="Arial"/>
                <w:color w:val="000000" w:themeColor="text1"/>
                <w:sz w:val="20"/>
                <w:szCs w:val="20"/>
              </w:rPr>
            </w:pPr>
            <w:r w:rsidRPr="004A2599">
              <w:rPr>
                <w:rFonts w:cs="Arial"/>
                <w:color w:val="000000" w:themeColor="text1"/>
                <w:sz w:val="20"/>
                <w:szCs w:val="20"/>
              </w:rPr>
              <w:t>Determine needs before assigning subject emphasis.</w:t>
            </w:r>
          </w:p>
        </w:tc>
        <w:tc>
          <w:tcPr>
            <w:tcW w:w="3216" w:type="dxa"/>
          </w:tcPr>
          <w:p w14:paraId="709C82D0" w14:textId="77777777" w:rsidR="005321BA" w:rsidRPr="004A2599" w:rsidRDefault="00234A3E">
            <w:pPr>
              <w:rPr>
                <w:rFonts w:cs="Arial"/>
                <w:color w:val="000000" w:themeColor="text1"/>
                <w:sz w:val="20"/>
                <w:szCs w:val="20"/>
              </w:rPr>
            </w:pPr>
            <w:r w:rsidRPr="004A2599">
              <w:rPr>
                <w:rFonts w:cs="Arial"/>
                <w:color w:val="000000" w:themeColor="text1"/>
                <w:sz w:val="20"/>
                <w:szCs w:val="20"/>
              </w:rPr>
              <w:t>Administer needs assessment and map specific competencies.</w:t>
            </w:r>
          </w:p>
        </w:tc>
      </w:tr>
      <w:tr w:rsidR="005321BA" w:rsidRPr="004A2599" w14:paraId="243E9F62" w14:textId="77777777" w:rsidTr="513EC8B0">
        <w:tc>
          <w:tcPr>
            <w:tcW w:w="3216" w:type="dxa"/>
          </w:tcPr>
          <w:p w14:paraId="7B2F3C12" w14:textId="77777777" w:rsidR="005321BA" w:rsidRPr="004A2599" w:rsidRDefault="00234A3E">
            <w:pPr>
              <w:rPr>
                <w:rFonts w:cs="Arial"/>
                <w:color w:val="000000" w:themeColor="text1"/>
                <w:sz w:val="20"/>
                <w:szCs w:val="20"/>
              </w:rPr>
            </w:pPr>
            <w:r w:rsidRPr="004A2599">
              <w:rPr>
                <w:rFonts w:cs="Arial"/>
                <w:color w:val="000000" w:themeColor="text1"/>
                <w:sz w:val="20"/>
                <w:szCs w:val="20"/>
              </w:rPr>
              <w:t>Administrative data cannot explain individual barriers.</w:t>
            </w:r>
          </w:p>
        </w:tc>
        <w:tc>
          <w:tcPr>
            <w:tcW w:w="3216" w:type="dxa"/>
          </w:tcPr>
          <w:p w14:paraId="5E2079B8" w14:textId="77777777" w:rsidR="005321BA" w:rsidRPr="004A2599" w:rsidRDefault="00234A3E">
            <w:pPr>
              <w:rPr>
                <w:rFonts w:cs="Arial"/>
                <w:color w:val="000000" w:themeColor="text1"/>
                <w:sz w:val="20"/>
                <w:szCs w:val="20"/>
              </w:rPr>
            </w:pPr>
            <w:r w:rsidRPr="004A2599">
              <w:rPr>
                <w:rFonts w:cs="Arial"/>
                <w:color w:val="000000" w:themeColor="text1"/>
                <w:sz w:val="20"/>
                <w:szCs w:val="20"/>
              </w:rPr>
              <w:t>Collect direct learner evidence and monitor participation.</w:t>
            </w:r>
          </w:p>
        </w:tc>
        <w:tc>
          <w:tcPr>
            <w:tcW w:w="3216" w:type="dxa"/>
          </w:tcPr>
          <w:p w14:paraId="1EEA795D" w14:textId="77777777" w:rsidR="005321BA" w:rsidRPr="004A2599" w:rsidRDefault="00234A3E">
            <w:pPr>
              <w:rPr>
                <w:rFonts w:cs="Arial"/>
                <w:color w:val="000000" w:themeColor="text1"/>
                <w:sz w:val="20"/>
                <w:szCs w:val="20"/>
              </w:rPr>
            </w:pPr>
            <w:r w:rsidRPr="004A2599">
              <w:rPr>
                <w:rFonts w:cs="Arial"/>
                <w:color w:val="000000" w:themeColor="text1"/>
                <w:sz w:val="20"/>
                <w:szCs w:val="20"/>
              </w:rPr>
              <w:t>Needs assessment, learner progress portfolio, and periodic review with ALS implementers.</w:t>
            </w:r>
          </w:p>
        </w:tc>
      </w:tr>
    </w:tbl>
    <w:p w14:paraId="117527BB" w14:textId="77777777" w:rsidR="005321BA" w:rsidRPr="00864EF8" w:rsidRDefault="00234A3E">
      <w:pPr>
        <w:pStyle w:val="Heading1"/>
        <w:rPr>
          <w:rFonts w:ascii="Arial" w:hAnsi="Arial" w:cs="Arial"/>
          <w:i/>
          <w:iCs/>
          <w:color w:val="000000" w:themeColor="text1"/>
          <w:sz w:val="20"/>
          <w:szCs w:val="20"/>
        </w:rPr>
      </w:pPr>
      <w:r w:rsidRPr="00864EF8">
        <w:rPr>
          <w:rFonts w:ascii="Arial" w:hAnsi="Arial" w:cs="Arial"/>
          <w:i/>
          <w:iCs/>
          <w:color w:val="000000" w:themeColor="text1"/>
          <w:sz w:val="20"/>
          <w:szCs w:val="20"/>
        </w:rPr>
        <w:t>6. Proposed Baseline-to-Intervention Framework</w:t>
      </w:r>
    </w:p>
    <w:p w14:paraId="0156DAAB" w14:textId="77777777" w:rsidR="009976DC" w:rsidRPr="009976DC" w:rsidRDefault="009976DC" w:rsidP="009976DC">
      <w:pPr>
        <w:spacing w:after="0" w:line="240" w:lineRule="auto"/>
      </w:pPr>
    </w:p>
    <w:p w14:paraId="3D890FAA" w14:textId="04BEB63E" w:rsidR="00DC369D" w:rsidRPr="004A2599" w:rsidRDefault="513EC8B0" w:rsidP="513EC8B0">
      <w:pPr>
        <w:ind w:firstLine="720"/>
        <w:jc w:val="both"/>
        <w:rPr>
          <w:rFonts w:cs="Arial"/>
          <w:color w:val="000000" w:themeColor="text1"/>
          <w:sz w:val="20"/>
          <w:szCs w:val="20"/>
        </w:rPr>
      </w:pPr>
      <w:r w:rsidRPr="513EC8B0">
        <w:rPr>
          <w:rFonts w:cs="Arial"/>
          <w:color w:val="000000" w:themeColor="text1"/>
          <w:sz w:val="20"/>
          <w:szCs w:val="20"/>
        </w:rPr>
        <w:t xml:space="preserve">The documentary analysis supports a progressive evidence-to-intervention framework in which extension services are developed only after existing learner information and locally identified needs have been considered. The framework begins with the </w:t>
      </w:r>
      <w:r w:rsidRPr="513EC8B0">
        <w:rPr>
          <w:rFonts w:eastAsia="Arial" w:cs="Arial"/>
          <w:sz w:val="20"/>
          <w:szCs w:val="20"/>
        </w:rPr>
        <w:t>functional literacy</w:t>
      </w:r>
      <w:r w:rsidRPr="513EC8B0">
        <w:rPr>
          <w:rFonts w:cs="Arial"/>
          <w:color w:val="000000" w:themeColor="text1"/>
          <w:sz w:val="20"/>
          <w:szCs w:val="20"/>
        </w:rPr>
        <w:t xml:space="preserve"> assessment and learner classification already undertaken within ALS. This prevents unnecessary duplication and anchors subsequent support in the learner’s established level.</w:t>
      </w:r>
    </w:p>
    <w:p w14:paraId="1484E54C" w14:textId="6FA51464" w:rsidR="00202317" w:rsidRDefault="00DC369D" w:rsidP="00864EF8">
      <w:pPr>
        <w:ind w:firstLine="720"/>
        <w:jc w:val="both"/>
        <w:rPr>
          <w:rFonts w:cs="Arial"/>
          <w:color w:val="000000" w:themeColor="text1"/>
          <w:sz w:val="20"/>
          <w:szCs w:val="20"/>
        </w:rPr>
      </w:pPr>
      <w:r w:rsidRPr="004A2599">
        <w:rPr>
          <w:rFonts w:cs="Arial"/>
          <w:color w:val="000000" w:themeColor="text1"/>
          <w:sz w:val="20"/>
          <w:szCs w:val="20"/>
        </w:rPr>
        <w:t>A learner needs assessment then provides a second layer of evidence by identifying perceived difficulties across ALS learning areas, specific competencies requiring assistance, barriers to participation, and preferred forms of learning support. These findings are subsequently mapped against the relevant ALS modules and competencies.</w:t>
      </w:r>
    </w:p>
    <w:p w14:paraId="55430929" w14:textId="77777777" w:rsidR="00A17925" w:rsidRPr="004A2599" w:rsidRDefault="00A17925" w:rsidP="00A17925">
      <w:pPr>
        <w:ind w:firstLine="720"/>
        <w:jc w:val="both"/>
        <w:rPr>
          <w:rFonts w:cs="Arial"/>
          <w:color w:val="000000" w:themeColor="text1"/>
          <w:sz w:val="20"/>
          <w:szCs w:val="20"/>
        </w:rPr>
      </w:pPr>
      <w:r w:rsidRPr="004A2599">
        <w:rPr>
          <w:rFonts w:cs="Arial"/>
          <w:color w:val="000000" w:themeColor="text1"/>
          <w:sz w:val="20"/>
          <w:szCs w:val="20"/>
        </w:rPr>
        <w:t>Based on this alignment, contextualized supplementary learning resources may be developed and used through individualized or small-group tutorials. Formative assessment and immediate feedback then determine whether learners require remediation, reinforcement, or enrichment. Continuous progress monitoring provides longitudinal evidence of participation and competency development, while end-of-cycle evaluation examines both learner outcomes and the effectiveness of the intervention itself.</w:t>
      </w:r>
    </w:p>
    <w:p w14:paraId="649F7B1E" w14:textId="07C34CE1" w:rsidR="00A17925" w:rsidRPr="004A2599" w:rsidRDefault="00A17925" w:rsidP="00A17925">
      <w:pPr>
        <w:ind w:firstLine="720"/>
        <w:jc w:val="both"/>
        <w:rPr>
          <w:rFonts w:cs="Arial"/>
          <w:color w:val="000000" w:themeColor="text1"/>
          <w:sz w:val="20"/>
          <w:szCs w:val="20"/>
        </w:rPr>
      </w:pPr>
      <w:r w:rsidRPr="004A2599">
        <w:rPr>
          <w:rFonts w:cs="Arial"/>
          <w:color w:val="000000" w:themeColor="text1"/>
          <w:sz w:val="20"/>
          <w:szCs w:val="20"/>
        </w:rPr>
        <w:t>Thus, the framework is not linear in the strict sense. Evaluation and progress-monitoring evidence should feed back into subsequent needs identification and instructional planning, creating a cycle of continuous evidence-based improvement.</w:t>
      </w:r>
    </w:p>
    <w:p w14:paraId="5681DC17" w14:textId="259CD38A" w:rsidR="005321BA" w:rsidRDefault="00234A3E" w:rsidP="00202317">
      <w:pPr>
        <w:ind w:firstLine="720"/>
        <w:rPr>
          <w:rFonts w:cs="Arial"/>
          <w:color w:val="000000" w:themeColor="text1"/>
          <w:sz w:val="20"/>
          <w:szCs w:val="20"/>
        </w:rPr>
      </w:pPr>
      <w:r w:rsidRPr="004A2599">
        <w:rPr>
          <w:rFonts w:cs="Arial"/>
          <w:color w:val="000000" w:themeColor="text1"/>
          <w:sz w:val="20"/>
          <w:szCs w:val="20"/>
        </w:rPr>
        <w:t xml:space="preserve"> </w:t>
      </w:r>
      <w:r w:rsidR="00884CBF" w:rsidRPr="004A2599">
        <w:rPr>
          <w:rFonts w:cs="Arial"/>
          <w:noProof/>
          <w:color w:val="000000" w:themeColor="text1"/>
          <w:sz w:val="20"/>
          <w:szCs w:val="20"/>
        </w:rPr>
        <w:drawing>
          <wp:inline distT="0" distB="0" distL="0" distR="0" wp14:anchorId="0C6C0C95" wp14:editId="26E65778">
            <wp:extent cx="6126480" cy="2042160"/>
            <wp:effectExtent l="0" t="0" r="0" b="2540"/>
            <wp:docPr id="161612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28207" name=""/>
                    <pic:cNvPicPr/>
                  </pic:nvPicPr>
                  <pic:blipFill>
                    <a:blip r:embed="rId8"/>
                    <a:stretch>
                      <a:fillRect/>
                    </a:stretch>
                  </pic:blipFill>
                  <pic:spPr>
                    <a:xfrm>
                      <a:off x="0" y="0"/>
                      <a:ext cx="6126480" cy="2042160"/>
                    </a:xfrm>
                    <a:prstGeom prst="rect">
                      <a:avLst/>
                    </a:prstGeom>
                  </pic:spPr>
                </pic:pic>
              </a:graphicData>
            </a:graphic>
          </wp:inline>
        </w:drawing>
      </w:r>
    </w:p>
    <w:p w14:paraId="6DC0A86D" w14:textId="011CDBC8" w:rsidR="513EC8B0" w:rsidRPr="001D18FF" w:rsidRDefault="513EC8B0" w:rsidP="001D18FF">
      <w:pPr>
        <w:ind w:firstLine="720"/>
        <w:jc w:val="center"/>
      </w:pPr>
      <w:r w:rsidRPr="513EC8B0">
        <w:rPr>
          <w:rFonts w:cs="Arial"/>
          <w:i/>
          <w:iCs/>
          <w:color w:val="000000" w:themeColor="text1"/>
          <w:sz w:val="20"/>
          <w:szCs w:val="20"/>
        </w:rPr>
        <w:t xml:space="preserve">Figure 1. </w:t>
      </w:r>
      <w:r w:rsidRPr="513EC8B0">
        <w:rPr>
          <w:rFonts w:cs="Arial"/>
          <w:color w:val="000000" w:themeColor="text1"/>
          <w:sz w:val="20"/>
          <w:szCs w:val="20"/>
        </w:rPr>
        <w:t>Proposed baseline-to-intervention framework</w:t>
      </w:r>
    </w:p>
    <w:p w14:paraId="4EE5502C" w14:textId="77777777" w:rsidR="005321BA" w:rsidRDefault="00234A3E">
      <w:pPr>
        <w:pStyle w:val="Heading1"/>
        <w:rPr>
          <w:rFonts w:ascii="Arial" w:hAnsi="Arial" w:cs="Arial"/>
          <w:color w:val="000000" w:themeColor="text1"/>
          <w:sz w:val="20"/>
          <w:szCs w:val="20"/>
        </w:rPr>
      </w:pPr>
      <w:r w:rsidRPr="004A2599">
        <w:rPr>
          <w:rFonts w:ascii="Arial" w:hAnsi="Arial" w:cs="Arial"/>
          <w:color w:val="000000" w:themeColor="text1"/>
          <w:sz w:val="20"/>
          <w:szCs w:val="20"/>
        </w:rPr>
        <w:t>7. Conclusions</w:t>
      </w:r>
    </w:p>
    <w:p w14:paraId="0AE77D25" w14:textId="77777777" w:rsidR="009976DC" w:rsidRPr="009976DC" w:rsidRDefault="009976DC" w:rsidP="009976DC">
      <w:pPr>
        <w:spacing w:after="0"/>
      </w:pPr>
    </w:p>
    <w:p w14:paraId="1ED117B2" w14:textId="3B5BDE32" w:rsidR="00D03B7A" w:rsidRPr="004A2599" w:rsidRDefault="00D03B7A" w:rsidP="00D03B7A">
      <w:pPr>
        <w:ind w:firstLine="720"/>
        <w:jc w:val="both"/>
        <w:rPr>
          <w:rFonts w:cs="Arial"/>
          <w:color w:val="000000" w:themeColor="text1"/>
          <w:sz w:val="20"/>
          <w:szCs w:val="20"/>
        </w:rPr>
      </w:pPr>
      <w:r w:rsidRPr="004A2599">
        <w:rPr>
          <w:rFonts w:cs="Arial"/>
          <w:color w:val="000000" w:themeColor="text1"/>
          <w:sz w:val="20"/>
          <w:szCs w:val="20"/>
        </w:rPr>
        <w:t>The documentary analysis demonstrates that participation and progression in San Miguel District ALS cannot be adequately represented by a single indicator. JHS consistently constitutes the dominant enrollment group, confirming a substantial local demand for secondary-level alternative education. At the same time, the difference between enrollment and recorded completion indicates that entry into ALS does not automatically translate into recorded completion within the corresponding administrative period. Conversely, the comparatively high reported passing percentages among the relevant assessment populations suggest that assessment performance alone may not explain the observed progression pattern.</w:t>
      </w:r>
    </w:p>
    <w:p w14:paraId="5686DCC8" w14:textId="77777777" w:rsidR="00D03B7A" w:rsidRPr="004A2599" w:rsidRDefault="00D03B7A" w:rsidP="00D03B7A">
      <w:pPr>
        <w:ind w:firstLine="720"/>
        <w:jc w:val="both"/>
        <w:rPr>
          <w:rFonts w:cs="Arial"/>
          <w:color w:val="000000" w:themeColor="text1"/>
          <w:sz w:val="20"/>
          <w:szCs w:val="20"/>
        </w:rPr>
      </w:pPr>
      <w:r w:rsidRPr="004A2599">
        <w:rPr>
          <w:rFonts w:cs="Arial"/>
          <w:color w:val="000000" w:themeColor="text1"/>
          <w:sz w:val="20"/>
          <w:szCs w:val="20"/>
        </w:rPr>
        <w:t>The principal finding of the study is therefore not that San Miguel ALS learners are performing poorly, but that a meaningful part of the learner pathway lies between enrollment and successful progression and is insufficiently explained by the existing administrative records. Understanding this space requires attention to learner competencies, engagement, accessibility, life circumstances, and the instructional support available to them.</w:t>
      </w:r>
    </w:p>
    <w:p w14:paraId="0087AE59" w14:textId="5894D1A8" w:rsidR="00D03B7A" w:rsidRPr="004A2599" w:rsidRDefault="00540F54" w:rsidP="00D03B7A">
      <w:pPr>
        <w:ind w:firstLine="720"/>
        <w:jc w:val="both"/>
        <w:rPr>
          <w:rFonts w:cs="Arial"/>
          <w:color w:val="000000" w:themeColor="text1"/>
          <w:sz w:val="20"/>
          <w:szCs w:val="20"/>
        </w:rPr>
      </w:pPr>
      <w:r w:rsidRPr="00540F54">
        <w:rPr>
          <w:rFonts w:cs="Arial"/>
          <w:color w:val="000000" w:themeColor="text1"/>
          <w:sz w:val="20"/>
          <w:szCs w:val="20"/>
        </w:rPr>
        <w:t>This interpretation is consistent with the direction of ALS 2.0 toward a quality and relevant second-chance basic education program (DepEd, 2022), the institutionalization of flexible alternative basic education under Republic Act No. 11510 (2020), and SDG 4’s commitment to inclusive and equitable quality education and lifelong learning opportunities for all (United Nations, n.d.).</w:t>
      </w:r>
      <w:r>
        <w:rPr>
          <w:rFonts w:cs="Arial"/>
          <w:color w:val="000000" w:themeColor="text1"/>
          <w:sz w:val="20"/>
          <w:szCs w:val="20"/>
        </w:rPr>
        <w:t xml:space="preserve"> </w:t>
      </w:r>
      <w:r w:rsidR="00D03B7A" w:rsidRPr="004A2599">
        <w:rPr>
          <w:rFonts w:cs="Arial"/>
          <w:color w:val="000000" w:themeColor="text1"/>
          <w:sz w:val="20"/>
          <w:szCs w:val="20"/>
        </w:rPr>
        <w:t>It also highlights an appropriate role for educational extension: not to duplicate ALS structures, but to strengthen the support surrounding learners as they engage with those structures.</w:t>
      </w:r>
    </w:p>
    <w:p w14:paraId="419CF325" w14:textId="0B775E31" w:rsidR="005321BA" w:rsidRPr="004A2599" w:rsidRDefault="513EC8B0" w:rsidP="00D03B7A">
      <w:pPr>
        <w:ind w:firstLine="720"/>
        <w:jc w:val="both"/>
        <w:rPr>
          <w:rFonts w:cs="Arial"/>
          <w:color w:val="000000" w:themeColor="text1"/>
          <w:sz w:val="20"/>
          <w:szCs w:val="20"/>
        </w:rPr>
      </w:pPr>
      <w:r w:rsidRPr="513EC8B0">
        <w:rPr>
          <w:rFonts w:cs="Arial"/>
          <w:color w:val="000000" w:themeColor="text1"/>
          <w:sz w:val="20"/>
          <w:szCs w:val="20"/>
        </w:rPr>
        <w:t>Accordingly, the baseline evidence supports proceeding to a structured learner needs assessment followed by differentiated, contextualized, and sustained learning support aligned with existing ALS modules and assessment information. Such an evidence-to-intervention approach provides a stronger foundation for extension programming because services are derived from documented learners and program needs rather than from assumptions about why learners do or do not progress.</w:t>
      </w:r>
    </w:p>
    <w:p w14:paraId="51CE2439" w14:textId="42A565BC" w:rsidR="005321BA" w:rsidRPr="004A2599" w:rsidRDefault="00234A3E" w:rsidP="00D03B7A">
      <w:pPr>
        <w:pStyle w:val="Heading1"/>
        <w:rPr>
          <w:rFonts w:ascii="Arial" w:hAnsi="Arial" w:cs="Arial"/>
          <w:color w:val="000000" w:themeColor="text1"/>
          <w:sz w:val="20"/>
          <w:szCs w:val="20"/>
        </w:rPr>
      </w:pPr>
      <w:r w:rsidRPr="004A2599">
        <w:rPr>
          <w:rFonts w:ascii="Arial" w:hAnsi="Arial" w:cs="Arial"/>
          <w:color w:val="000000" w:themeColor="text1"/>
          <w:sz w:val="20"/>
          <w:szCs w:val="20"/>
        </w:rPr>
        <w:t>8. Recommendations</w:t>
      </w:r>
    </w:p>
    <w:p w14:paraId="202DD9F2" w14:textId="4B8DBED2"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Validate the administrative indicators with San Miguel District ALS implementers, particularly the denominators and reporting procedures used in calculating completion and passing percentages.</w:t>
      </w:r>
    </w:p>
    <w:p w14:paraId="1A0EE7BE" w14:textId="424D56E6"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Conduct a structured learner needs assessment to identify priority learning areas and competencies, barriers to participation, preferred learning-support arrangements, and accessibility needs.</w:t>
      </w:r>
    </w:p>
    <w:p w14:paraId="48DD1ACC" w14:textId="2C0B9A7C"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Use existing ALS Functional Literacy assessment and learner-classification information as the starting point for differentiated support rather than introducing a parallel placement mechanism.</w:t>
      </w:r>
    </w:p>
    <w:p w14:paraId="6559D57B" w14:textId="54325439"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Align supplementary intervention materials with the existing ALS K to 12 curriculum and locally utilized modules, with contextualization based on learners’ experiences and identified needs.</w:t>
      </w:r>
    </w:p>
    <w:p w14:paraId="425FB390" w14:textId="29D5EBFF"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Prioritize sustained rather than one-time learning support, incorporating individualized or small-group tutorials, guided practice, formative assessment, feedback, remediation, reinforcement, and enrichment as appropriate.</w:t>
      </w:r>
    </w:p>
    <w:p w14:paraId="6C787A05" w14:textId="0ECB4E96"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Establish a learner-level progress-monitoring mechanism that documents attendance, competencies addressed, learning outputs, formative performance, interventions provided, and subsequent progress.</w:t>
      </w:r>
    </w:p>
    <w:p w14:paraId="64EE026F" w14:textId="289285C5"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 xml:space="preserve">Address accessibility as part of educational support, including transportation and learning-venue considerations where the needs assessment confirms these as barriers. This is consistent with evidence that geographic and logistical conditions can shape participation in alternative education.  </w:t>
      </w:r>
    </w:p>
    <w:p w14:paraId="19E03677" w14:textId="18228FAA" w:rsidR="00D03B7A" w:rsidRPr="004A2599"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Develop extension partnerships around complementary institutional roles, with DepEd ALS retaining responsibility for official curriculum, assessment, and learner placement while higher education extension personnel contribute disciplinary expertise, contextualized resources, tutorial support, and monitoring.</w:t>
      </w:r>
    </w:p>
    <w:p w14:paraId="2681EDCF" w14:textId="099ADE79" w:rsidR="00D03B7A" w:rsidRDefault="513EC8B0" w:rsidP="513EC8B0">
      <w:pPr>
        <w:pStyle w:val="ListParagraph"/>
        <w:numPr>
          <w:ilvl w:val="0"/>
          <w:numId w:val="14"/>
        </w:numPr>
        <w:ind w:left="810"/>
        <w:jc w:val="both"/>
        <w:rPr>
          <w:rFonts w:cs="Arial"/>
          <w:color w:val="000000" w:themeColor="text1"/>
          <w:sz w:val="20"/>
          <w:szCs w:val="20"/>
        </w:rPr>
      </w:pPr>
      <w:r w:rsidRPr="513EC8B0">
        <w:rPr>
          <w:rFonts w:cs="Arial"/>
          <w:color w:val="000000" w:themeColor="text1"/>
          <w:sz w:val="20"/>
          <w:szCs w:val="20"/>
        </w:rPr>
        <w:t>Evaluate extension initiatives at multiple levels, distinguishing implementation outputs (materials and sessions delivered), proximal outcomes (participation and competency development), and longer-term indicators such as progression and completion. Completion should be treated as an outcome to which an extension project intervention may contribute rather than one attributable solely to the intervention.</w:t>
      </w:r>
    </w:p>
    <w:p w14:paraId="44176EC8" w14:textId="77777777" w:rsidR="00746481" w:rsidRPr="00746481" w:rsidRDefault="00746481" w:rsidP="00746481">
      <w:pPr>
        <w:ind w:left="450"/>
        <w:rPr>
          <w:rFonts w:cs="Arial"/>
          <w:color w:val="000000" w:themeColor="text1"/>
          <w:sz w:val="20"/>
          <w:szCs w:val="20"/>
        </w:rPr>
      </w:pPr>
    </w:p>
    <w:p w14:paraId="267EA3F4" w14:textId="483707E8" w:rsidR="00746481" w:rsidRDefault="00D03B7A" w:rsidP="00D03B7A">
      <w:pPr>
        <w:rPr>
          <w:rFonts w:cs="Arial"/>
          <w:b/>
          <w:bCs/>
          <w:color w:val="000000" w:themeColor="text1"/>
          <w:sz w:val="20"/>
          <w:szCs w:val="20"/>
        </w:rPr>
      </w:pPr>
      <w:r w:rsidRPr="004A2599">
        <w:rPr>
          <w:rFonts w:cs="Arial"/>
          <w:b/>
          <w:bCs/>
          <w:color w:val="000000" w:themeColor="text1"/>
          <w:sz w:val="20"/>
          <w:szCs w:val="20"/>
        </w:rPr>
        <w:t>9. References</w:t>
      </w:r>
    </w:p>
    <w:p w14:paraId="52E85DB9" w14:textId="63CBADDD" w:rsidR="00746481" w:rsidRPr="00746481" w:rsidRDefault="00746481" w:rsidP="00746481">
      <w:pPr>
        <w:spacing w:after="0" w:line="240" w:lineRule="auto"/>
        <w:ind w:left="720" w:hanging="720"/>
        <w:rPr>
          <w:rFonts w:cs="Arial"/>
          <w:color w:val="000000" w:themeColor="text1"/>
          <w:sz w:val="20"/>
          <w:szCs w:val="20"/>
        </w:rPr>
      </w:pPr>
      <w:r w:rsidRPr="00746481">
        <w:rPr>
          <w:rFonts w:cs="Arial"/>
          <w:color w:val="000000" w:themeColor="text1"/>
          <w:sz w:val="20"/>
          <w:szCs w:val="20"/>
        </w:rPr>
        <w:t xml:space="preserve">Alvarez, A. J., Jr. (2024). Second chances: Exploring the Philippine Alternative Learning System. </w:t>
      </w:r>
      <w:r w:rsidRPr="001549D7">
        <w:rPr>
          <w:rFonts w:cs="Arial"/>
          <w:i/>
          <w:iCs/>
          <w:color w:val="000000" w:themeColor="text1"/>
          <w:sz w:val="20"/>
          <w:szCs w:val="20"/>
        </w:rPr>
        <w:t>International Journal of Scholars in Education, 7</w:t>
      </w:r>
      <w:r w:rsidRPr="00746481">
        <w:rPr>
          <w:rFonts w:cs="Arial"/>
          <w:color w:val="000000" w:themeColor="text1"/>
          <w:sz w:val="20"/>
          <w:szCs w:val="20"/>
        </w:rPr>
        <w:t xml:space="preserve">(1), 1–16. </w:t>
      </w:r>
      <w:hyperlink r:id="rId9" w:history="1">
        <w:r w:rsidR="005576CB" w:rsidRPr="00A70336">
          <w:rPr>
            <w:rStyle w:val="Hyperlink"/>
            <w:rFonts w:cs="Arial"/>
            <w:sz w:val="20"/>
            <w:szCs w:val="20"/>
          </w:rPr>
          <w:t>https://doi.org/10.52134/ueader.1445226</w:t>
        </w:r>
      </w:hyperlink>
      <w:r w:rsidR="005576CB">
        <w:rPr>
          <w:rFonts w:cs="Arial"/>
          <w:color w:val="000000" w:themeColor="text1"/>
          <w:sz w:val="20"/>
          <w:szCs w:val="20"/>
        </w:rPr>
        <w:t xml:space="preserve"> </w:t>
      </w:r>
      <w:r w:rsidRPr="00746481">
        <w:rPr>
          <w:rFonts w:cs="Arial"/>
          <w:color w:val="000000" w:themeColor="text1"/>
          <w:sz w:val="20"/>
          <w:szCs w:val="20"/>
        </w:rPr>
        <w:t xml:space="preserve">  </w:t>
      </w:r>
    </w:p>
    <w:p w14:paraId="37605F6B" w14:textId="77777777" w:rsidR="00746481" w:rsidRPr="00746481" w:rsidRDefault="00746481" w:rsidP="00746481">
      <w:pPr>
        <w:spacing w:after="0" w:line="240" w:lineRule="auto"/>
        <w:ind w:left="720" w:hanging="720"/>
        <w:rPr>
          <w:rFonts w:cs="Arial"/>
          <w:color w:val="000000" w:themeColor="text1"/>
          <w:sz w:val="20"/>
          <w:szCs w:val="20"/>
        </w:rPr>
      </w:pPr>
    </w:p>
    <w:p w14:paraId="07396437" w14:textId="3FC021DD" w:rsidR="00746481" w:rsidRPr="00746481" w:rsidRDefault="00746481" w:rsidP="00746481">
      <w:pPr>
        <w:spacing w:after="0" w:line="240" w:lineRule="auto"/>
        <w:ind w:left="720" w:hanging="720"/>
        <w:rPr>
          <w:rFonts w:cs="Arial"/>
          <w:color w:val="000000" w:themeColor="text1"/>
          <w:sz w:val="20"/>
          <w:szCs w:val="20"/>
        </w:rPr>
      </w:pPr>
      <w:r w:rsidRPr="00746481">
        <w:rPr>
          <w:rFonts w:cs="Arial"/>
          <w:color w:val="000000" w:themeColor="text1"/>
          <w:sz w:val="20"/>
          <w:szCs w:val="20"/>
        </w:rPr>
        <w:t xml:space="preserve">Bowen, G. A. (2009). Document analysis as a qualitative research method. </w:t>
      </w:r>
      <w:r w:rsidRPr="001549D7">
        <w:rPr>
          <w:rFonts w:cs="Arial"/>
          <w:i/>
          <w:iCs/>
          <w:color w:val="000000" w:themeColor="text1"/>
          <w:sz w:val="20"/>
          <w:szCs w:val="20"/>
        </w:rPr>
        <w:t>Qualitative Research Journal, 9</w:t>
      </w:r>
      <w:r w:rsidRPr="00746481">
        <w:rPr>
          <w:rFonts w:cs="Arial"/>
          <w:color w:val="000000" w:themeColor="text1"/>
          <w:sz w:val="20"/>
          <w:szCs w:val="20"/>
        </w:rPr>
        <w:t xml:space="preserve">(2), 27–40. </w:t>
      </w:r>
      <w:hyperlink r:id="rId10" w:history="1">
        <w:r w:rsidR="005576CB" w:rsidRPr="00A70336">
          <w:rPr>
            <w:rStyle w:val="Hyperlink"/>
            <w:rFonts w:cs="Arial"/>
            <w:sz w:val="20"/>
            <w:szCs w:val="20"/>
          </w:rPr>
          <w:t>https://doi.org/10.3316/QRJ0902027</w:t>
        </w:r>
      </w:hyperlink>
      <w:r w:rsidR="005576CB">
        <w:rPr>
          <w:rFonts w:cs="Arial"/>
          <w:color w:val="000000" w:themeColor="text1"/>
          <w:sz w:val="20"/>
          <w:szCs w:val="20"/>
        </w:rPr>
        <w:t xml:space="preserve"> </w:t>
      </w:r>
      <w:r w:rsidRPr="00746481">
        <w:rPr>
          <w:rFonts w:cs="Arial"/>
          <w:color w:val="000000" w:themeColor="text1"/>
          <w:sz w:val="20"/>
          <w:szCs w:val="20"/>
        </w:rPr>
        <w:t xml:space="preserve">  </w:t>
      </w:r>
    </w:p>
    <w:p w14:paraId="3FC64B60" w14:textId="77777777" w:rsidR="00746481" w:rsidRPr="00746481" w:rsidRDefault="00746481" w:rsidP="00746481">
      <w:pPr>
        <w:spacing w:after="0" w:line="240" w:lineRule="auto"/>
        <w:ind w:left="720" w:hanging="720"/>
        <w:rPr>
          <w:rFonts w:cs="Arial"/>
          <w:color w:val="000000" w:themeColor="text1"/>
          <w:sz w:val="20"/>
          <w:szCs w:val="20"/>
        </w:rPr>
      </w:pPr>
    </w:p>
    <w:p w14:paraId="354680F6" w14:textId="087E2206" w:rsidR="00746481" w:rsidRPr="00746481" w:rsidRDefault="00540F54" w:rsidP="00746481">
      <w:pPr>
        <w:spacing w:after="0" w:line="240" w:lineRule="auto"/>
        <w:ind w:left="720" w:hanging="720"/>
        <w:rPr>
          <w:rFonts w:cs="Arial"/>
          <w:color w:val="000000" w:themeColor="text1"/>
          <w:sz w:val="20"/>
          <w:szCs w:val="20"/>
        </w:rPr>
      </w:pPr>
      <w:r w:rsidRPr="00540F54">
        <w:rPr>
          <w:rFonts w:cs="Arial"/>
          <w:color w:val="000000" w:themeColor="text1"/>
          <w:sz w:val="20"/>
          <w:szCs w:val="20"/>
        </w:rPr>
        <w:t>Department of Education. (2022). ALS 2.0: Transforming the Alternative Learning System into a quality and relevant second chance basic education program.</w:t>
      </w:r>
      <w:r w:rsidR="00746481" w:rsidRPr="00746481">
        <w:rPr>
          <w:rFonts w:cs="Arial"/>
          <w:color w:val="000000" w:themeColor="text1"/>
          <w:sz w:val="20"/>
          <w:szCs w:val="20"/>
        </w:rPr>
        <w:t xml:space="preserve">  </w:t>
      </w:r>
    </w:p>
    <w:p w14:paraId="6CCE2419" w14:textId="77777777" w:rsidR="00746481" w:rsidRPr="00746481" w:rsidRDefault="00746481" w:rsidP="00746481">
      <w:pPr>
        <w:spacing w:after="0" w:line="240" w:lineRule="auto"/>
        <w:ind w:left="720" w:hanging="720"/>
        <w:rPr>
          <w:rFonts w:cs="Arial"/>
          <w:color w:val="000000" w:themeColor="text1"/>
          <w:sz w:val="20"/>
          <w:szCs w:val="20"/>
        </w:rPr>
      </w:pPr>
    </w:p>
    <w:p w14:paraId="3B4BBEE8" w14:textId="4DD1501C" w:rsidR="00746481" w:rsidRPr="00746481" w:rsidRDefault="00746481" w:rsidP="00746481">
      <w:pPr>
        <w:spacing w:after="0" w:line="240" w:lineRule="auto"/>
        <w:ind w:left="720" w:hanging="720"/>
        <w:rPr>
          <w:rFonts w:cs="Arial"/>
          <w:color w:val="000000" w:themeColor="text1"/>
          <w:sz w:val="20"/>
          <w:szCs w:val="20"/>
        </w:rPr>
      </w:pPr>
      <w:proofErr w:type="spellStart"/>
      <w:r w:rsidRPr="00746481">
        <w:rPr>
          <w:rFonts w:cs="Arial"/>
          <w:color w:val="000000" w:themeColor="text1"/>
          <w:sz w:val="20"/>
          <w:szCs w:val="20"/>
        </w:rPr>
        <w:t>Janog</w:t>
      </w:r>
      <w:proofErr w:type="spellEnd"/>
      <w:r w:rsidRPr="00746481">
        <w:rPr>
          <w:rFonts w:cs="Arial"/>
          <w:color w:val="000000" w:themeColor="text1"/>
          <w:sz w:val="20"/>
          <w:szCs w:val="20"/>
        </w:rPr>
        <w:t xml:space="preserve">, R. A., &amp; </w:t>
      </w:r>
      <w:proofErr w:type="spellStart"/>
      <w:r w:rsidRPr="00746481">
        <w:rPr>
          <w:rFonts w:cs="Arial"/>
          <w:color w:val="000000" w:themeColor="text1"/>
          <w:sz w:val="20"/>
          <w:szCs w:val="20"/>
        </w:rPr>
        <w:t>Oco</w:t>
      </w:r>
      <w:proofErr w:type="spellEnd"/>
      <w:r w:rsidRPr="00746481">
        <w:rPr>
          <w:rFonts w:cs="Arial"/>
          <w:color w:val="000000" w:themeColor="text1"/>
          <w:sz w:val="20"/>
          <w:szCs w:val="20"/>
        </w:rPr>
        <w:t xml:space="preserve">, R. M. (2026). Alternative Learning System learners’ work-life balance and academic engagement. </w:t>
      </w:r>
      <w:r w:rsidRPr="005576CB">
        <w:rPr>
          <w:rFonts w:cs="Arial"/>
          <w:i/>
          <w:iCs/>
          <w:color w:val="000000" w:themeColor="text1"/>
          <w:sz w:val="20"/>
          <w:szCs w:val="20"/>
        </w:rPr>
        <w:t>International Journal of Multidisciplinary Research and Analysis, 9</w:t>
      </w:r>
      <w:r w:rsidRPr="00746481">
        <w:rPr>
          <w:rFonts w:cs="Arial"/>
          <w:color w:val="000000" w:themeColor="text1"/>
          <w:sz w:val="20"/>
          <w:szCs w:val="20"/>
        </w:rPr>
        <w:t xml:space="preserve">(5), 2596–2606. </w:t>
      </w:r>
      <w:hyperlink r:id="rId11" w:history="1">
        <w:r w:rsidR="005576CB" w:rsidRPr="00A70336">
          <w:rPr>
            <w:rStyle w:val="Hyperlink"/>
            <w:rFonts w:cs="Arial"/>
            <w:sz w:val="20"/>
            <w:szCs w:val="20"/>
          </w:rPr>
          <w:t>https://doi.org/10.5281/zenodo.20342770</w:t>
        </w:r>
      </w:hyperlink>
      <w:r w:rsidR="005576CB">
        <w:rPr>
          <w:rFonts w:cs="Arial"/>
          <w:color w:val="000000" w:themeColor="text1"/>
          <w:sz w:val="20"/>
          <w:szCs w:val="20"/>
        </w:rPr>
        <w:t xml:space="preserve"> </w:t>
      </w:r>
      <w:r w:rsidRPr="00746481">
        <w:rPr>
          <w:rFonts w:cs="Arial"/>
          <w:color w:val="000000" w:themeColor="text1"/>
          <w:sz w:val="20"/>
          <w:szCs w:val="20"/>
        </w:rPr>
        <w:t xml:space="preserve">  </w:t>
      </w:r>
    </w:p>
    <w:p w14:paraId="63E78C71" w14:textId="77777777" w:rsidR="00746481" w:rsidRPr="00746481" w:rsidRDefault="00746481" w:rsidP="00746481">
      <w:pPr>
        <w:spacing w:after="0" w:line="240" w:lineRule="auto"/>
        <w:ind w:left="720" w:hanging="720"/>
        <w:rPr>
          <w:rFonts w:cs="Arial"/>
          <w:color w:val="000000" w:themeColor="text1"/>
          <w:sz w:val="20"/>
          <w:szCs w:val="20"/>
        </w:rPr>
      </w:pPr>
    </w:p>
    <w:p w14:paraId="4503B3CD" w14:textId="270EAF08" w:rsidR="00746481" w:rsidRPr="00746481" w:rsidRDefault="00E23F8E" w:rsidP="00746481">
      <w:pPr>
        <w:spacing w:after="0" w:line="240" w:lineRule="auto"/>
        <w:ind w:left="720" w:hanging="720"/>
        <w:rPr>
          <w:rFonts w:cs="Arial"/>
          <w:color w:val="000000" w:themeColor="text1"/>
          <w:sz w:val="20"/>
          <w:szCs w:val="20"/>
        </w:rPr>
      </w:pPr>
      <w:r w:rsidRPr="00E23F8E">
        <w:rPr>
          <w:rFonts w:cs="Arial"/>
          <w:color w:val="000000" w:themeColor="text1"/>
          <w:sz w:val="20"/>
          <w:szCs w:val="20"/>
        </w:rPr>
        <w:t>Alternative Learning System Act, Republic Act No. 11510</w:t>
      </w:r>
      <w:r w:rsidR="00746481" w:rsidRPr="00746481">
        <w:rPr>
          <w:rFonts w:cs="Arial"/>
          <w:color w:val="000000" w:themeColor="text1"/>
          <w:sz w:val="20"/>
          <w:szCs w:val="20"/>
        </w:rPr>
        <w:t xml:space="preserve"> (2020). </w:t>
      </w:r>
      <w:r w:rsidR="00746481" w:rsidRPr="00E23F8E">
        <w:rPr>
          <w:rFonts w:cs="Arial"/>
          <w:i/>
          <w:iCs/>
          <w:color w:val="000000" w:themeColor="text1"/>
          <w:sz w:val="20"/>
          <w:szCs w:val="20"/>
        </w:rPr>
        <w:t>An act institutionalizing the Alternative Learning System in basic education for out-of-school children in special cases and adults and appropriating funds therefor</w:t>
      </w:r>
      <w:r w:rsidR="00746481" w:rsidRPr="00746481">
        <w:rPr>
          <w:rFonts w:cs="Arial"/>
          <w:color w:val="000000" w:themeColor="text1"/>
          <w:sz w:val="20"/>
          <w:szCs w:val="20"/>
        </w:rPr>
        <w:t xml:space="preserve"> [Alternative Learning System Act]. Official Gazette of the Republic of the Philippines.  </w:t>
      </w:r>
      <w:r w:rsidR="005576CB">
        <w:rPr>
          <w:rFonts w:cs="Arial"/>
          <w:color w:val="000000" w:themeColor="text1"/>
          <w:sz w:val="20"/>
          <w:szCs w:val="20"/>
        </w:rPr>
        <w:t xml:space="preserve"> </w:t>
      </w:r>
    </w:p>
    <w:p w14:paraId="3A1596C4" w14:textId="77777777" w:rsidR="00746481" w:rsidRPr="00746481" w:rsidRDefault="00746481" w:rsidP="00746481">
      <w:pPr>
        <w:spacing w:after="0" w:line="240" w:lineRule="auto"/>
        <w:ind w:left="720" w:hanging="720"/>
        <w:rPr>
          <w:rFonts w:cs="Arial"/>
          <w:color w:val="000000" w:themeColor="text1"/>
          <w:sz w:val="20"/>
          <w:szCs w:val="20"/>
        </w:rPr>
      </w:pPr>
    </w:p>
    <w:p w14:paraId="6945A821" w14:textId="0C6E1EA4" w:rsidR="00746481" w:rsidRPr="00746481" w:rsidRDefault="00E23F8E" w:rsidP="00746481">
      <w:pPr>
        <w:spacing w:after="0" w:line="240" w:lineRule="auto"/>
        <w:ind w:left="720" w:hanging="720"/>
        <w:rPr>
          <w:rFonts w:cs="Arial"/>
          <w:color w:val="000000" w:themeColor="text1"/>
          <w:sz w:val="20"/>
          <w:szCs w:val="20"/>
        </w:rPr>
      </w:pPr>
      <w:r w:rsidRPr="00E23F8E">
        <w:rPr>
          <w:rFonts w:cs="Arial"/>
          <w:color w:val="000000" w:themeColor="text1"/>
          <w:sz w:val="20"/>
          <w:szCs w:val="20"/>
        </w:rPr>
        <w:t xml:space="preserve">United Nations. (2015). </w:t>
      </w:r>
      <w:r w:rsidRPr="00E23F8E">
        <w:rPr>
          <w:rFonts w:cs="Arial"/>
          <w:i/>
          <w:iCs/>
          <w:color w:val="000000" w:themeColor="text1"/>
          <w:sz w:val="20"/>
          <w:szCs w:val="20"/>
        </w:rPr>
        <w:t>Transforming our world: The 2030 Agenda for Sustainable Development</w:t>
      </w:r>
      <w:r w:rsidRPr="00E23F8E">
        <w:rPr>
          <w:rFonts w:cs="Arial"/>
          <w:color w:val="000000" w:themeColor="text1"/>
          <w:sz w:val="20"/>
          <w:szCs w:val="20"/>
        </w:rPr>
        <w:t>.</w:t>
      </w:r>
      <w:r w:rsidR="00746481" w:rsidRPr="00746481">
        <w:rPr>
          <w:rFonts w:cs="Arial"/>
          <w:color w:val="000000" w:themeColor="text1"/>
          <w:sz w:val="20"/>
          <w:szCs w:val="20"/>
        </w:rPr>
        <w:t xml:space="preserve"> </w:t>
      </w:r>
    </w:p>
    <w:p w14:paraId="304FEC68" w14:textId="77777777" w:rsidR="00746481" w:rsidRPr="00746481" w:rsidRDefault="00746481" w:rsidP="00746481">
      <w:pPr>
        <w:spacing w:after="0" w:line="240" w:lineRule="auto"/>
        <w:ind w:left="720" w:hanging="720"/>
        <w:rPr>
          <w:rFonts w:cs="Arial"/>
          <w:color w:val="000000" w:themeColor="text1"/>
          <w:sz w:val="20"/>
          <w:szCs w:val="20"/>
        </w:rPr>
      </w:pPr>
    </w:p>
    <w:p w14:paraId="052D1346" w14:textId="48173ABE" w:rsidR="00746481" w:rsidRPr="00E23F8E" w:rsidRDefault="00E23F8E" w:rsidP="00746481">
      <w:pPr>
        <w:spacing w:after="0" w:line="240" w:lineRule="auto"/>
        <w:ind w:left="720" w:hanging="720"/>
        <w:rPr>
          <w:rFonts w:cs="Arial"/>
          <w:i/>
          <w:iCs/>
          <w:color w:val="000000" w:themeColor="text1"/>
          <w:sz w:val="20"/>
          <w:szCs w:val="20"/>
        </w:rPr>
      </w:pPr>
      <w:r w:rsidRPr="00E23F8E">
        <w:rPr>
          <w:rFonts w:cs="Arial"/>
          <w:color w:val="000000" w:themeColor="text1"/>
          <w:sz w:val="20"/>
          <w:szCs w:val="20"/>
        </w:rPr>
        <w:t xml:space="preserve">UNESCO. (2019, August 14). </w:t>
      </w:r>
      <w:r w:rsidRPr="00E23F8E">
        <w:rPr>
          <w:rFonts w:cs="Arial"/>
          <w:i/>
          <w:iCs/>
          <w:color w:val="000000" w:themeColor="text1"/>
          <w:sz w:val="20"/>
          <w:szCs w:val="20"/>
        </w:rPr>
        <w:t>Mapping and tagging of existing alternative learning resources for ALS equivalent to K-12 basic education in the Philippines.</w:t>
      </w:r>
      <w:r w:rsidR="00746481" w:rsidRPr="00E23F8E">
        <w:rPr>
          <w:rFonts w:cs="Arial"/>
          <w:i/>
          <w:iCs/>
          <w:color w:val="000000" w:themeColor="text1"/>
          <w:sz w:val="20"/>
          <w:szCs w:val="20"/>
        </w:rPr>
        <w:t xml:space="preserve">  </w:t>
      </w:r>
    </w:p>
    <w:p w14:paraId="2D490E77" w14:textId="77777777" w:rsidR="00746481" w:rsidRPr="00746481" w:rsidRDefault="00746481" w:rsidP="00746481">
      <w:pPr>
        <w:spacing w:after="0" w:line="240" w:lineRule="auto"/>
        <w:ind w:left="720" w:hanging="720"/>
        <w:rPr>
          <w:rFonts w:cs="Arial"/>
          <w:color w:val="000000" w:themeColor="text1"/>
          <w:sz w:val="20"/>
          <w:szCs w:val="20"/>
        </w:rPr>
      </w:pPr>
    </w:p>
    <w:p w14:paraId="66BCC13F" w14:textId="0465E990" w:rsidR="00746481" w:rsidRPr="00746481" w:rsidRDefault="00E23F8E" w:rsidP="00746481">
      <w:pPr>
        <w:spacing w:after="0" w:line="240" w:lineRule="auto"/>
        <w:ind w:left="720" w:hanging="720"/>
        <w:rPr>
          <w:rFonts w:cs="Arial"/>
          <w:color w:val="000000" w:themeColor="text1"/>
          <w:sz w:val="20"/>
          <w:szCs w:val="20"/>
        </w:rPr>
      </w:pPr>
      <w:r w:rsidRPr="00E23F8E">
        <w:rPr>
          <w:rFonts w:cs="Arial"/>
          <w:color w:val="000000" w:themeColor="text1"/>
          <w:sz w:val="20"/>
          <w:szCs w:val="20"/>
        </w:rPr>
        <w:t xml:space="preserve">UNESCO. (2021, April 15). </w:t>
      </w:r>
      <w:r w:rsidRPr="00E23F8E">
        <w:rPr>
          <w:rFonts w:cs="Arial"/>
          <w:i/>
          <w:iCs/>
          <w:color w:val="000000" w:themeColor="text1"/>
          <w:sz w:val="20"/>
          <w:szCs w:val="20"/>
        </w:rPr>
        <w:t>UNESCO supports the Accreditation and Equivalency Readiness Test (AERT) framework of the Philippines’ Department of Education</w:t>
      </w:r>
      <w:r w:rsidRPr="00E23F8E">
        <w:rPr>
          <w:rFonts w:cs="Arial"/>
          <w:color w:val="000000" w:themeColor="text1"/>
          <w:sz w:val="20"/>
          <w:szCs w:val="20"/>
        </w:rPr>
        <w:t>.</w:t>
      </w:r>
      <w:r w:rsidR="00746481" w:rsidRPr="00746481">
        <w:rPr>
          <w:rFonts w:cs="Arial"/>
          <w:color w:val="000000" w:themeColor="text1"/>
          <w:sz w:val="20"/>
          <w:szCs w:val="20"/>
        </w:rPr>
        <w:t xml:space="preserve">  </w:t>
      </w:r>
    </w:p>
    <w:p w14:paraId="724E7BCE" w14:textId="77777777" w:rsidR="00746481" w:rsidRPr="00746481" w:rsidRDefault="00746481" w:rsidP="00E23F8E">
      <w:pPr>
        <w:spacing w:after="0" w:line="240" w:lineRule="auto"/>
        <w:rPr>
          <w:rFonts w:cs="Arial"/>
          <w:color w:val="000000" w:themeColor="text1"/>
          <w:sz w:val="20"/>
          <w:szCs w:val="20"/>
        </w:rPr>
      </w:pPr>
    </w:p>
    <w:sectPr w:rsidR="00746481" w:rsidRPr="00746481" w:rsidSect="00034616">
      <w:footerReference w:type="default" r:id="rId12"/>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3170D" w14:textId="77777777" w:rsidR="00390484" w:rsidRDefault="00390484" w:rsidP="000E6F8F">
      <w:pPr>
        <w:spacing w:after="0" w:line="240" w:lineRule="auto"/>
      </w:pPr>
      <w:r>
        <w:separator/>
      </w:r>
    </w:p>
  </w:endnote>
  <w:endnote w:type="continuationSeparator" w:id="0">
    <w:p w14:paraId="639753B7" w14:textId="77777777" w:rsidR="00390484" w:rsidRDefault="00390484" w:rsidP="000E6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15B7" w14:textId="77777777" w:rsidR="000E6F8F" w:rsidRDefault="000E6F8F" w:rsidP="000E6F8F">
    <w:pPr>
      <w:pStyle w:val="Footer"/>
      <w:spacing w:befor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CBB6A" w14:textId="77777777" w:rsidR="00390484" w:rsidRDefault="00390484" w:rsidP="000E6F8F">
      <w:pPr>
        <w:spacing w:after="0" w:line="240" w:lineRule="auto"/>
      </w:pPr>
      <w:r>
        <w:separator/>
      </w:r>
    </w:p>
  </w:footnote>
  <w:footnote w:type="continuationSeparator" w:id="0">
    <w:p w14:paraId="67AD4606" w14:textId="77777777" w:rsidR="00390484" w:rsidRDefault="00390484" w:rsidP="000E6F8F">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KQVaTSov" int2:invalidationBookmarkName="" int2:hashCode="+YlhAVoKw5NjD0" int2:id="22foX5Ao">
      <int2:state int2:value="Rejected" int2:type="gram"/>
    </int2:bookmark>
    <int2:bookmark int2:bookmarkName="_Int_FX1sycfn" int2:invalidationBookmarkName="" int2:hashCode="HenVX2cHOZdH1r" int2:id="5mnUeidG">
      <int2:state int2:value="Rejected" int2:type="gram"/>
    </int2:bookmark>
    <int2:bookmark int2:bookmarkName="_Int_Jt0fbpwm" int2:invalidationBookmarkName="" int2:hashCode="ZV+DvnUS5bWzuk" int2:id="IBJ8GqJz">
      <int2:state int2:value="Rejected" int2:type="gram"/>
    </int2:bookmark>
    <int2:bookmark int2:bookmarkName="_Int_8Rypa3gf" int2:invalidationBookmarkName="" int2:hashCode="ytyRQVoJVp05xn" int2:id="lSKbaSI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14FA43C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18278A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442714"/>
    <w:multiLevelType w:val="hybridMultilevel"/>
    <w:tmpl w:val="578AA1EC"/>
    <w:lvl w:ilvl="0" w:tplc="760662E4">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0" w15:restartNumberingAfterBreak="0">
    <w:nsid w:val="2FCD6300"/>
    <w:multiLevelType w:val="hybridMultilevel"/>
    <w:tmpl w:val="FFFFFFFF"/>
    <w:lvl w:ilvl="0" w:tplc="8CC8725A">
      <w:start w:val="1"/>
      <w:numFmt w:val="decimal"/>
      <w:lvlText w:val="%1."/>
      <w:lvlJc w:val="left"/>
      <w:pPr>
        <w:ind w:left="720" w:hanging="360"/>
      </w:pPr>
    </w:lvl>
    <w:lvl w:ilvl="1" w:tplc="83829D0C">
      <w:start w:val="1"/>
      <w:numFmt w:val="lowerLetter"/>
      <w:lvlText w:val="%2."/>
      <w:lvlJc w:val="left"/>
      <w:pPr>
        <w:ind w:left="1440" w:hanging="360"/>
      </w:pPr>
    </w:lvl>
    <w:lvl w:ilvl="2" w:tplc="65562266">
      <w:start w:val="1"/>
      <w:numFmt w:val="lowerRoman"/>
      <w:lvlText w:val="%3."/>
      <w:lvlJc w:val="right"/>
      <w:pPr>
        <w:ind w:left="2160" w:hanging="180"/>
      </w:pPr>
    </w:lvl>
    <w:lvl w:ilvl="3" w:tplc="0B8C6C42">
      <w:start w:val="1"/>
      <w:numFmt w:val="decimal"/>
      <w:lvlText w:val="%4."/>
      <w:lvlJc w:val="left"/>
      <w:pPr>
        <w:ind w:left="2880" w:hanging="360"/>
      </w:pPr>
    </w:lvl>
    <w:lvl w:ilvl="4" w:tplc="B3067312">
      <w:start w:val="1"/>
      <w:numFmt w:val="lowerLetter"/>
      <w:lvlText w:val="%5."/>
      <w:lvlJc w:val="left"/>
      <w:pPr>
        <w:ind w:left="3600" w:hanging="360"/>
      </w:pPr>
    </w:lvl>
    <w:lvl w:ilvl="5" w:tplc="FE64FEC2">
      <w:start w:val="1"/>
      <w:numFmt w:val="lowerRoman"/>
      <w:lvlText w:val="%6."/>
      <w:lvlJc w:val="right"/>
      <w:pPr>
        <w:ind w:left="4320" w:hanging="180"/>
      </w:pPr>
    </w:lvl>
    <w:lvl w:ilvl="6" w:tplc="0FB6FE28">
      <w:start w:val="1"/>
      <w:numFmt w:val="decimal"/>
      <w:lvlText w:val="%7."/>
      <w:lvlJc w:val="left"/>
      <w:pPr>
        <w:ind w:left="5040" w:hanging="360"/>
      </w:pPr>
    </w:lvl>
    <w:lvl w:ilvl="7" w:tplc="CB38A216">
      <w:start w:val="1"/>
      <w:numFmt w:val="lowerLetter"/>
      <w:lvlText w:val="%8."/>
      <w:lvlJc w:val="left"/>
      <w:pPr>
        <w:ind w:left="5760" w:hanging="360"/>
      </w:pPr>
    </w:lvl>
    <w:lvl w:ilvl="8" w:tplc="B9127AFC">
      <w:start w:val="1"/>
      <w:numFmt w:val="lowerRoman"/>
      <w:lvlText w:val="%9."/>
      <w:lvlJc w:val="right"/>
      <w:pPr>
        <w:ind w:left="6480" w:hanging="180"/>
      </w:pPr>
    </w:lvl>
  </w:abstractNum>
  <w:abstractNum w:abstractNumId="11" w15:restartNumberingAfterBreak="0">
    <w:nsid w:val="58B86076"/>
    <w:multiLevelType w:val="hybridMultilevel"/>
    <w:tmpl w:val="A2D2F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1F2259"/>
    <w:multiLevelType w:val="hybridMultilevel"/>
    <w:tmpl w:val="3B5A7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F965AC"/>
    <w:multiLevelType w:val="multilevel"/>
    <w:tmpl w:val="87F6513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92314844">
    <w:abstractNumId w:val="10"/>
  </w:num>
  <w:num w:numId="2" w16cid:durableId="1079598007">
    <w:abstractNumId w:val="8"/>
  </w:num>
  <w:num w:numId="3" w16cid:durableId="824584921">
    <w:abstractNumId w:val="6"/>
  </w:num>
  <w:num w:numId="4" w16cid:durableId="429741403">
    <w:abstractNumId w:val="5"/>
  </w:num>
  <w:num w:numId="5" w16cid:durableId="2136941713">
    <w:abstractNumId w:val="4"/>
  </w:num>
  <w:num w:numId="6" w16cid:durableId="1833718083">
    <w:abstractNumId w:val="7"/>
  </w:num>
  <w:num w:numId="7" w16cid:durableId="2060662955">
    <w:abstractNumId w:val="3"/>
  </w:num>
  <w:num w:numId="8" w16cid:durableId="2055305645">
    <w:abstractNumId w:val="2"/>
  </w:num>
  <w:num w:numId="9" w16cid:durableId="52042139">
    <w:abstractNumId w:val="1"/>
  </w:num>
  <w:num w:numId="10" w16cid:durableId="2134472052">
    <w:abstractNumId w:val="0"/>
  </w:num>
  <w:num w:numId="11" w16cid:durableId="818572821">
    <w:abstractNumId w:val="11"/>
  </w:num>
  <w:num w:numId="12" w16cid:durableId="113595264">
    <w:abstractNumId w:val="12"/>
  </w:num>
  <w:num w:numId="13" w16cid:durableId="1105342897">
    <w:abstractNumId w:val="7"/>
  </w:num>
  <w:num w:numId="14" w16cid:durableId="115564057">
    <w:abstractNumId w:val="9"/>
  </w:num>
  <w:num w:numId="15" w16cid:durableId="14521668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686"/>
    <w:rsid w:val="00034616"/>
    <w:rsid w:val="0006063C"/>
    <w:rsid w:val="000E6F8F"/>
    <w:rsid w:val="00110F78"/>
    <w:rsid w:val="0015074B"/>
    <w:rsid w:val="001549D7"/>
    <w:rsid w:val="0019040E"/>
    <w:rsid w:val="001A0A75"/>
    <w:rsid w:val="001A4DDE"/>
    <w:rsid w:val="001D18FF"/>
    <w:rsid w:val="00202317"/>
    <w:rsid w:val="00234A3E"/>
    <w:rsid w:val="0029639D"/>
    <w:rsid w:val="002B0522"/>
    <w:rsid w:val="002C7A3F"/>
    <w:rsid w:val="00326F90"/>
    <w:rsid w:val="00390484"/>
    <w:rsid w:val="003B0E45"/>
    <w:rsid w:val="003C54BA"/>
    <w:rsid w:val="00414BB5"/>
    <w:rsid w:val="00461BA3"/>
    <w:rsid w:val="004723EF"/>
    <w:rsid w:val="004A2599"/>
    <w:rsid w:val="004D55EA"/>
    <w:rsid w:val="00521DDE"/>
    <w:rsid w:val="005321BA"/>
    <w:rsid w:val="00540F54"/>
    <w:rsid w:val="005576CB"/>
    <w:rsid w:val="00673B99"/>
    <w:rsid w:val="00736792"/>
    <w:rsid w:val="00746481"/>
    <w:rsid w:val="00776C5B"/>
    <w:rsid w:val="007B1B18"/>
    <w:rsid w:val="007D47CD"/>
    <w:rsid w:val="00804913"/>
    <w:rsid w:val="00864EF8"/>
    <w:rsid w:val="008800C6"/>
    <w:rsid w:val="00884CBF"/>
    <w:rsid w:val="008D7AD5"/>
    <w:rsid w:val="009976DC"/>
    <w:rsid w:val="009F321E"/>
    <w:rsid w:val="00A07000"/>
    <w:rsid w:val="00A17925"/>
    <w:rsid w:val="00AA1D8D"/>
    <w:rsid w:val="00AF6A0F"/>
    <w:rsid w:val="00B47730"/>
    <w:rsid w:val="00B8251F"/>
    <w:rsid w:val="00C35AB5"/>
    <w:rsid w:val="00C81617"/>
    <w:rsid w:val="00CB0664"/>
    <w:rsid w:val="00D03B7A"/>
    <w:rsid w:val="00D3391A"/>
    <w:rsid w:val="00D7715D"/>
    <w:rsid w:val="00DC369D"/>
    <w:rsid w:val="00E03554"/>
    <w:rsid w:val="00E23F8E"/>
    <w:rsid w:val="00E804A7"/>
    <w:rsid w:val="00F5256E"/>
    <w:rsid w:val="00F70E0D"/>
    <w:rsid w:val="00F92736"/>
    <w:rsid w:val="00FC693F"/>
    <w:rsid w:val="192EAA72"/>
    <w:rsid w:val="23AB6312"/>
    <w:rsid w:val="324B2EAC"/>
    <w:rsid w:val="513EC8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5607A3"/>
  <w14:defaultImageDpi w14:val="300"/>
  <w15:docId w15:val="{57C7CEDC-B513-421F-A71C-5A965F4C9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576CB"/>
    <w:rPr>
      <w:color w:val="0000FF" w:themeColor="hyperlink"/>
      <w:u w:val="single"/>
    </w:rPr>
  </w:style>
  <w:style w:type="character" w:styleId="UnresolvedMention">
    <w:name w:val="Unresolved Mention"/>
    <w:basedOn w:val="DefaultParagraphFont"/>
    <w:uiPriority w:val="99"/>
    <w:semiHidden/>
    <w:unhideWhenUsed/>
    <w:rsid w:val="005576CB"/>
    <w:rPr>
      <w:color w:val="605E5C"/>
      <w:shd w:val="clear" w:color="auto" w:fill="E1DFDD"/>
    </w:rPr>
  </w:style>
  <w:style w:type="character" w:styleId="FollowedHyperlink">
    <w:name w:val="FollowedHyperlink"/>
    <w:basedOn w:val="DefaultParagraphFont"/>
    <w:uiPriority w:val="99"/>
    <w:semiHidden/>
    <w:unhideWhenUsed/>
    <w:rsid w:val="005576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281/zenodo.20342770" TargetMode="Externa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yperlink" Target="https://doi.org/10.3316/QRJ0902027" TargetMode="External"/><Relationship Id="rId4" Type="http://schemas.openxmlformats.org/officeDocument/2006/relationships/settings" Target="settings.xml"/><Relationship Id="rId9" Type="http://schemas.openxmlformats.org/officeDocument/2006/relationships/hyperlink" Target="https://doi.org/10.52134/ueader.144522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5268</Words>
  <Characters>30031</Characters>
  <Application>Microsoft Office Word</Application>
  <DocSecurity>4</DocSecurity>
  <Lines>250</Lines>
  <Paragraphs>70</Paragraphs>
  <ScaleCrop>false</ScaleCrop>
  <Manager/>
  <Company/>
  <LinksUpToDate>false</LinksUpToDate>
  <CharactersWithSpaces>35229</CharactersWithSpaces>
  <SharedDoc>false</SharedDoc>
  <HyperlinkBase/>
  <HLinks>
    <vt:vector size="18" baseType="variant">
      <vt:variant>
        <vt:i4>8257588</vt:i4>
      </vt:variant>
      <vt:variant>
        <vt:i4>6</vt:i4>
      </vt:variant>
      <vt:variant>
        <vt:i4>0</vt:i4>
      </vt:variant>
      <vt:variant>
        <vt:i4>5</vt:i4>
      </vt:variant>
      <vt:variant>
        <vt:lpwstr>https://doi.org/10.5281/zenodo.20342770</vt:lpwstr>
      </vt:variant>
      <vt:variant>
        <vt:lpwstr/>
      </vt:variant>
      <vt:variant>
        <vt:i4>6619261</vt:i4>
      </vt:variant>
      <vt:variant>
        <vt:i4>3</vt:i4>
      </vt:variant>
      <vt:variant>
        <vt:i4>0</vt:i4>
      </vt:variant>
      <vt:variant>
        <vt:i4>5</vt:i4>
      </vt:variant>
      <vt:variant>
        <vt:lpwstr>https://doi.org/10.3316/QRJ0902027</vt:lpwstr>
      </vt:variant>
      <vt:variant>
        <vt:lpwstr/>
      </vt:variant>
      <vt:variant>
        <vt:i4>6357040</vt:i4>
      </vt:variant>
      <vt:variant>
        <vt:i4>0</vt:i4>
      </vt:variant>
      <vt:variant>
        <vt:i4>0</vt:i4>
      </vt:variant>
      <vt:variant>
        <vt:i4>5</vt:i4>
      </vt:variant>
      <vt:variant>
        <vt:lpwstr>https://doi.org/10.52134/ueader.1445226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Starr Clyde Sebial</cp:lastModifiedBy>
  <cp:revision>8</cp:revision>
  <cp:lastPrinted>2026-09-29T21:19:00Z</cp:lastPrinted>
  <dcterms:created xsi:type="dcterms:W3CDTF">2026-09-29T21:19:00Z</dcterms:created>
  <dcterms:modified xsi:type="dcterms:W3CDTF">2026-09-29T06:42:00Z</dcterms:modified>
  <cp:category/>
</cp:coreProperties>
</file>