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20"/>
        <w:jc w:val="center"/>
      </w:pPr>
      <w:r>
        <w:rPr>
          <w:rFonts w:ascii="Arial" w:hAnsi="Arial"/>
          <w:b/>
          <w:i w:val="0"/>
          <w:color w:val="202020"/>
          <w:sz w:val="22"/>
        </w:rPr>
        <w:t>J.H. CERILLES STATE COLLEGE</w:t>
      </w:r>
    </w:p>
    <w:p>
      <w:pPr>
        <w:keepNext/>
        <w:spacing w:after="160"/>
        <w:jc w:val="center"/>
      </w:pPr>
      <w:r>
        <w:rPr>
          <w:rFonts w:ascii="Arial" w:hAnsi="Arial"/>
          <w:b w:val="0"/>
          <w:i w:val="0"/>
          <w:color w:val="202020"/>
          <w:sz w:val="17"/>
        </w:rPr>
        <w:t>School of Agriculture, Forestry and Environmental Studies  |  Office of Community Extension Services</w:t>
      </w:r>
    </w:p>
    <w:p>
      <w:pPr>
        <w:pStyle w:val="ProposalSubtitle"/>
      </w:pPr>
      <w:r>
        <w:rPr>
          <w:rFonts w:ascii="Arial" w:hAnsi="Arial"/>
          <w:b w:val="0"/>
          <w:i w:val="0"/>
        </w:rPr>
        <w:t>EXTENSION PROJECT PROPOSAL</w:t>
      </w:r>
    </w:p>
    <w:p>
      <w:pPr>
        <w:pStyle w:val="Title"/>
        <w:keepNext/>
        <w:jc w:val="center"/>
      </w:pPr>
      <w:r>
        <w:rPr>
          <w:rFonts w:ascii="Arial" w:hAnsi="Arial"/>
          <w:b w:val="0"/>
          <w:i w:val="0"/>
        </w:rPr>
        <w:t>CEPA Initiatives for Forest Preservation Year 2 Forest Health Monitoring and Community Action</w:t>
      </w:r>
    </w:p>
    <w:p>
      <w:pPr>
        <w:spacing w:after="180"/>
        <w:jc w:val="center"/>
      </w:pPr>
      <w:r>
        <w:rPr>
          <w:rFonts w:ascii="Arial" w:hAnsi="Arial"/>
          <w:b/>
          <w:i w:val="0"/>
          <w:color w:val="202020"/>
          <w:sz w:val="20"/>
        </w:rPr>
        <w:t>Barangay Poblacion, Tigbao, Zamboanga del Sur</w:t>
      </w:r>
    </w:p>
    <w:p>
      <w:r>
        <w:rPr>
          <w:rFonts w:ascii="Arial" w:hAnsi="Arial"/>
          <w:b w:val="0"/>
          <w:i w:val="0"/>
          <w:color w:val="202020"/>
          <w:sz w:val="19"/>
        </w:rPr>
        <w:t>This second-year CEPA proposal translates JHCSC research on gall rust and understory vegetation into practical community learning, supervised observation, and a referral pathway for forest health concerns. The 12-month plan will be implemented with proposed partners from DENR and the Barangay Local Government Unit of Poblacion, Tigbao, subject to coordination and concurrence.</w:t>
      </w:r>
    </w:p>
    <w:p>
      <w:pPr>
        <w:pStyle w:val="Heading1"/>
      </w:pPr>
      <w:r>
        <w:rPr>
          <w:rFonts w:ascii="Arial" w:hAnsi="Arial"/>
          <w:b w:val="0"/>
          <w:i w:val="0"/>
        </w:rPr>
        <w:t>PART I  PROJECT SUMMARY</w:t>
      </w:r>
    </w:p>
    <w:tbl>
      <w:tblPr>
        <w:tblW w:type="auto" w:w="0"/>
        <w:jc w:val="center"/>
        <w:tblLayout w:type="fixed"/>
        <w:tblLook w:firstColumn="1" w:firstRow="1" w:lastColumn="0" w:lastRow="0" w:noHBand="0" w:noVBand="1" w:val="04A0"/>
      </w:tblPr>
      <w:tblGrid>
        <w:gridCol w:w="4824"/>
        <w:gridCol w:w="4824"/>
      </w:tblGrid>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A. Title</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CEPA Initiatives for Forest Preservation Year 2 Forest Health Monitoring and Community Action</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B. Implementer</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School of Agriculture, Forestry and Environmental Studies (SAFES), J.H. Cerilles State College, Main Campus Mati.</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C. Project Team</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Project Leader: Nomar A. Ramoncito - overall coordination and research-based training content.</w:t>
            </w:r>
            <w:r>
              <w:rPr>
                <w:rFonts w:ascii="Arial" w:hAnsi="Arial"/>
                <w:color w:val="202020"/>
                <w:sz w:val="17"/>
              </w:rPr>
              <w:br/>
            </w:r>
            <w:r>
              <w:rPr>
                <w:rFonts w:ascii="Arial" w:hAnsi="Arial"/>
                <w:b w:val="0"/>
                <w:i w:val="0"/>
                <w:color w:val="202020"/>
                <w:sz w:val="17"/>
              </w:rPr>
              <w:t>Assistant Project Leader: Rovana Ramoncito - participant coordination, session support, and monitoring records.</w:t>
            </w:r>
            <w:r>
              <w:rPr>
                <w:rFonts w:ascii="Arial" w:hAnsi="Arial"/>
                <w:color w:val="202020"/>
                <w:sz w:val="17"/>
              </w:rPr>
              <w:br/>
            </w:r>
            <w:r>
              <w:rPr>
                <w:rFonts w:ascii="Arial" w:hAnsi="Arial"/>
                <w:b w:val="0"/>
                <w:i w:val="0"/>
                <w:color w:val="202020"/>
                <w:sz w:val="17"/>
              </w:rPr>
              <w:t>Project Member: Lowella Calonia - field demonstration support, IEC materials, and documentation.</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D. Target Group</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Approximately 50 participants from Barangay Poblacion, Tigbao, including barangay officials and environment focal persons, farmers or tree growers, women and youth representatives, forest-dependent residents, and BS Forestry students. The final participant mix will be confirmed with the barangay.</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E. Cooperating Agencies</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Proposed partners: DENR through the appropriate local field office and the Barangay Local Government Unit of Poblacion, Tigbao. Participation is subject to coordination and written concurrence.</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F. Timeframe</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12 months from institutional approval.</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G. Financial Requirement</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Estimated project cost: PHP 63,420.00, subject to institutional costing and approval. Partner contributions are not monetized in this estimate.</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H. Impact Statement</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The project will help community members recognize and record visible forest health concerns, understand how understory conditions can relate to gall rust in Falcata plantations, and report observations to the appropriate technical partners. Its primary impact is improved local capacity for early observation and coordinated response.</w:t>
            </w:r>
          </w:p>
        </w:tc>
      </w:tr>
      <w:tr>
        <w:trPr>
          <w:cantSplit/>
        </w:trPr>
        <w:tc>
          <w:tcPr>
            <w:tcW w:type="dxa" w:w="19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color w:val="202020"/>
                <w:sz w:val="17"/>
              </w:rPr>
            </w:r>
            <w:r>
              <w:rPr>
                <w:rFonts w:ascii="Arial" w:hAnsi="Arial"/>
                <w:b/>
                <w:i w:val="0"/>
                <w:color w:val="202020"/>
                <w:sz w:val="17"/>
              </w:rPr>
              <w:t>I. Summary</w:t>
            </w:r>
          </w:p>
        </w:tc>
        <w:tc>
          <w:tcPr>
            <w:tcW w:type="dxa" w:w="7703"/>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7"/>
              </w:rPr>
            </w:r>
            <w:r>
              <w:rPr>
                <w:rFonts w:ascii="Arial" w:hAnsi="Arial"/>
                <w:b w:val="0"/>
                <w:i w:val="0"/>
                <w:color w:val="202020"/>
                <w:sz w:val="17"/>
              </w:rPr>
              <w:t>The project will begin with partner consultation and a rapid needs assessment in Barangay Poblacion. It will deliver CEPA sessions on forest health, visible pest and disease signs, gall rust in Falcataria falcata, understory vegetation, and responsible reporting. A supervised, non-destructive field exercise and quarterly observation rounds will help participants practice simple monitoring. Pre- and post-session assessments, attendance records, observation forms, and a final partner review will be used to evaluate delivery and learning.</w:t>
            </w:r>
          </w:p>
        </w:tc>
      </w:tr>
    </w:tbl>
    <w:p>
      <w:pPr>
        <w:pStyle w:val="Heading1"/>
      </w:pPr>
      <w:r>
        <w:rPr>
          <w:rFonts w:ascii="Arial" w:hAnsi="Arial"/>
          <w:b w:val="0"/>
          <w:i w:val="0"/>
        </w:rPr>
        <w:t>PART II  PROJECT DETAILS</w:t>
      </w:r>
    </w:p>
    <w:p>
      <w:pPr>
        <w:pStyle w:val="Heading2"/>
      </w:pPr>
      <w:r>
        <w:rPr>
          <w:rFonts w:ascii="Arial" w:hAnsi="Arial"/>
          <w:b w:val="0"/>
          <w:i w:val="0"/>
        </w:rPr>
        <w:t>A. Background and Justification</w:t>
      </w:r>
    </w:p>
    <w:p>
      <w:r>
        <w:rPr>
          <w:rFonts w:ascii="Arial" w:hAnsi="Arial"/>
          <w:b w:val="0"/>
          <w:i w:val="0"/>
          <w:color w:val="202020"/>
        </w:rPr>
        <w:t>Forest health affects tree survival, plantation productivity, and the continued provision of forest resources. Gall rust, caused by the fungus Uromycladium falcatarium, produces woody galls on Falcata branches, stems, and trunks; severe infection can lead to shoot dieback, stunted growth, or tree mortality. Communities who manage or live near tree stands can contribute to early awareness when they know what to observe, how to document it, and where to refer a concern.</w:t>
      </w:r>
    </w:p>
    <w:p>
      <w:r>
        <w:rPr>
          <w:rFonts w:ascii="Arial" w:hAnsi="Arial"/>
          <w:b w:val="0"/>
          <w:i w:val="0"/>
          <w:color w:val="202020"/>
        </w:rPr>
        <w:t>The proposed Year 2 CEPA project is anchored in the JHCSC-affiliated study by Ramoncito et al. (2025), conducted in Falcata plantations in Tigbao, Zamboanga del Sur. In 45 plots assessed in November 2022, mean gall rust severity was 19.58% in low, 41.80% in medium, and 58.73% in high understory classes. Mean richness was 2, 6, and 10 species, and mean understory biomass was 0.02, 1.81, and 3.41 kg/m2, respectively. These observed relationships support teaching participants to record tree symptoms and understory conditions together when monitoring plantation health.</w:t>
      </w:r>
    </w:p>
    <w:p>
      <w:r>
        <w:rPr>
          <w:rFonts w:ascii="Arial" w:hAnsi="Arial"/>
          <w:b w:val="0"/>
          <w:i w:val="0"/>
          <w:color w:val="202020"/>
        </w:rPr>
        <w:t>The paper reports observational relationships from a single assessment period in Falcata plantations. It does not establish that understory vegetation caused gall rust or that one vegetation treatment will control the disease. The project will therefore use the findings as a local learning and monitoring basis, not as a universal treatment prescription. During the first phase, DENR and barangay representatives will help confirm the forest health concerns, suitable observation site, participant group, and referral contacts in Barangay Poblacion. Field activities will be non-destructive and will focus on visible symptoms, site notes, and referral to technical partners.</w:t>
      </w:r>
    </w:p>
    <w:p>
      <w:r>
        <w:rPr>
          <w:rFonts w:ascii="Arial" w:hAnsi="Arial"/>
          <w:b w:val="0"/>
          <w:i w:val="0"/>
          <w:color w:val="202020"/>
        </w:rPr>
        <w:t>The activities continue the CEPA platform of the previous extension proposal while shifting its Year 2 emphasis to forest health education, early observation, and community reporting. Training will cover basic forest health concepts, visible signs of pests and diseases, gall rust recognition where Falcata occurs, understory observation, invasive plant awareness, safe field conduct, and simple documentation using photographs and observation forms.</w:t>
      </w:r>
    </w:p>
    <w:p>
      <w:pPr>
        <w:pStyle w:val="Heading3"/>
      </w:pPr>
      <w:r>
        <w:rPr>
          <w:rFonts w:ascii="Arial" w:hAnsi="Arial"/>
          <w:b w:val="0"/>
          <w:i w:val="0"/>
        </w:rPr>
        <w:t>Research basis</w:t>
      </w:r>
    </w:p>
    <w:p>
      <w:pPr>
        <w:ind w:left="288" w:right="288"/>
      </w:pPr>
      <w:r>
        <w:rPr>
          <w:rFonts w:ascii="Arial" w:hAnsi="Arial"/>
          <w:b w:val="0"/>
          <w:i w:val="0"/>
          <w:color w:val="202020"/>
          <w:sz w:val="18"/>
        </w:rPr>
        <w:t>Ramoncito, N. A., Jawani, R. M., Rojo, M. J. A., &amp; Tulod, A. M. (2025). Species Composition, Richness, and Biomass of Understory Vegetation Influence the Gall Rust Disease Incidence and Severity in Falcataria falcata L. Greuter and R. Rankin Plantation. Philippine Journal of Science, 154(6A), 1411-1424.</w:t>
      </w:r>
    </w:p>
    <w:p>
      <w:pPr>
        <w:pStyle w:val="Heading2"/>
      </w:pPr>
      <w:r>
        <w:rPr>
          <w:rFonts w:ascii="Arial" w:hAnsi="Arial"/>
          <w:b w:val="0"/>
          <w:i w:val="0"/>
        </w:rPr>
        <w:t>A.1 Alignment to Global National and Institutional Frameworks</w:t>
      </w:r>
    </w:p>
    <w:p>
      <w:pPr>
        <w:pStyle w:val="Heading3"/>
      </w:pPr>
      <w:r>
        <w:rPr>
          <w:rFonts w:ascii="Arial" w:hAnsi="Arial"/>
          <w:b w:val="0"/>
          <w:i w:val="0"/>
        </w:rPr>
        <w:t>A.1.1 Sustainable Development Goals</w:t>
      </w:r>
    </w:p>
    <w:p>
      <w:r>
        <w:rPr>
          <w:rFonts w:ascii="Arial" w:hAnsi="Arial"/>
          <w:b w:val="0"/>
          <w:i w:val="0"/>
          <w:color w:val="202020"/>
        </w:rPr>
        <w:t>The project directly supports SDG 15 Life on Land through community learning and observation that can contribute to forest ecosystem stewardship. It also supports SDG 4 Quality Education through accessible, research-based lifelong learning and SDG 13 Climate Action by strengthening local awareness of forest condition and environmental risks.</w:t>
      </w:r>
    </w:p>
    <w:p>
      <w:pPr>
        <w:pStyle w:val="Heading3"/>
      </w:pPr>
      <w:r>
        <w:rPr>
          <w:rFonts w:ascii="Arial" w:hAnsi="Arial"/>
          <w:b w:val="0"/>
          <w:i w:val="0"/>
        </w:rPr>
        <w:t>A.1.2 A.C.H.I.E.V.E.</w:t>
      </w:r>
    </w:p>
    <w:p>
      <w:r>
        <w:rPr>
          <w:rFonts w:ascii="Arial" w:hAnsi="Arial"/>
          <w:b w:val="0"/>
          <w:i w:val="0"/>
          <w:color w:val="202020"/>
        </w:rPr>
        <w:t>The project advances Advanced and Accessible Lifelong Learning through community CEPA sessions; Harmonized SDG-Based Research and Innovation by translating JHCSC research into extension learning; Integrated Real-Time Data and Analytics through dated observation records; and Effective and Efficient Public Service through a clear referral pathway with local partners.</w:t>
      </w:r>
    </w:p>
    <w:p>
      <w:pPr>
        <w:pStyle w:val="Heading3"/>
      </w:pPr>
      <w:r>
        <w:rPr>
          <w:rFonts w:ascii="Arial" w:hAnsi="Arial"/>
          <w:b w:val="0"/>
          <w:i w:val="0"/>
        </w:rPr>
        <w:t>A.1.3 R.E.S.I.L.I.E.N.T.</w:t>
      </w:r>
    </w:p>
    <w:p>
      <w:r>
        <w:rPr>
          <w:rFonts w:ascii="Arial" w:hAnsi="Arial"/>
          <w:b w:val="0"/>
          <w:i w:val="0"/>
          <w:color w:val="202020"/>
        </w:rPr>
        <w:t>The project supports Empowered Communities and Effective Public Service, Learning Excellence anchored in Quality Assurance, Accreditation and Partnerships, and Enhanced Research Culture with Global Relevance and Innovation Impact. It links research, forestry instruction, and community participation through a documented and evaluated extension process.</w:t>
      </w:r>
    </w:p>
    <w:p>
      <w:pPr>
        <w:pStyle w:val="Heading3"/>
      </w:pPr>
      <w:r>
        <w:rPr>
          <w:rFonts w:ascii="Arial" w:hAnsi="Arial"/>
          <w:b w:val="0"/>
          <w:i w:val="0"/>
        </w:rPr>
        <w:t>A.1.4 T.A.B.A.N.G.E.</w:t>
      </w:r>
    </w:p>
    <w:p>
      <w:r>
        <w:rPr>
          <w:rFonts w:ascii="Arial" w:hAnsi="Arial"/>
          <w:b w:val="0"/>
          <w:i w:val="0"/>
          <w:color w:val="202020"/>
        </w:rPr>
        <w:t>The proposal contributes to Technology and Literacy Initiatives through simple field documentation, Barangay Empowerment and Good Governance through local coordination and reporting, Adopt a Community through the Barangay Poblacion focus, and Environmental Resource Conservation and Disaster Risk Reduction through forest health awareness and early observation.</w:t>
      </w:r>
    </w:p>
    <w:p>
      <w:pPr>
        <w:pStyle w:val="Heading2"/>
      </w:pPr>
      <w:r>
        <w:rPr>
          <w:rFonts w:ascii="Arial" w:hAnsi="Arial"/>
          <w:b w:val="0"/>
          <w:i w:val="0"/>
        </w:rPr>
        <w:t>B. Specific Objectives</w:t>
      </w:r>
    </w:p>
    <w:p>
      <w:r>
        <w:rPr>
          <w:rFonts w:ascii="Arial" w:hAnsi="Arial"/>
          <w:b/>
          <w:i w:val="0"/>
          <w:color w:val="202020"/>
          <w:sz w:val="19"/>
        </w:rPr>
        <w:t>General objective</w:t>
      </w:r>
    </w:p>
    <w:p>
      <w:r>
        <w:rPr>
          <w:rFonts w:ascii="Arial" w:hAnsi="Arial"/>
          <w:b w:val="0"/>
          <w:i w:val="0"/>
          <w:color w:val="202020"/>
        </w:rPr>
        <w:t>To strengthen the capacity of Barangay Poblacion community members to observe, document, and refer forest health concerns through research-based CEPA activities over 12 months.</w:t>
      </w:r>
    </w:p>
    <w:p>
      <w:r>
        <w:rPr>
          <w:rFonts w:ascii="Arial" w:hAnsi="Arial"/>
          <w:b/>
          <w:i w:val="0"/>
          <w:color w:val="202020"/>
          <w:sz w:val="19"/>
        </w:rPr>
        <w:t>Specific objectives</w:t>
      </w:r>
    </w:p>
    <w:p>
      <w:pPr>
        <w:pStyle w:val="ListBullet"/>
        <w:spacing w:after="50" w:line="259" w:lineRule="auto"/>
        <w:ind w:left="360" w:hanging="187"/>
      </w:pPr>
      <w:r>
        <w:rPr>
          <w:rFonts w:ascii="Arial" w:hAnsi="Arial"/>
          <w:color w:val="202020"/>
          <w:sz w:val="19"/>
        </w:rPr>
        <w:t>Consult with DENR and the barangay to identify local forest health concerns, confirm the training site, and assess participant learning needs.</w:t>
      </w:r>
    </w:p>
    <w:p>
      <w:pPr>
        <w:pStyle w:val="ListBullet"/>
        <w:spacing w:after="50" w:line="259" w:lineRule="auto"/>
        <w:ind w:left="360" w:hanging="187"/>
      </w:pPr>
      <w:r>
        <w:rPr>
          <w:rFonts w:ascii="Arial" w:hAnsi="Arial"/>
          <w:color w:val="202020"/>
          <w:sz w:val="19"/>
        </w:rPr>
        <w:t>Deliver CEPA sessions on forest health, visible signs of pests and diseases, gall rust in Falcata where present, understory vegetation, invasive plants, and responsible reporting.</w:t>
      </w:r>
    </w:p>
    <w:p>
      <w:pPr>
        <w:pStyle w:val="ListBullet"/>
        <w:spacing w:after="50" w:line="259" w:lineRule="auto"/>
        <w:ind w:left="360" w:hanging="187"/>
      </w:pPr>
      <w:r>
        <w:rPr>
          <w:rFonts w:ascii="Arial" w:hAnsi="Arial"/>
          <w:color w:val="202020"/>
          <w:sz w:val="19"/>
        </w:rPr>
        <w:t>Train community participants in a simple, non-destructive observation method using a field form, photographs, and location notes where available.</w:t>
      </w:r>
    </w:p>
    <w:p>
      <w:pPr>
        <w:pStyle w:val="ListBullet"/>
        <w:spacing w:after="50" w:line="259" w:lineRule="auto"/>
        <w:ind w:left="360" w:hanging="187"/>
      </w:pPr>
      <w:r>
        <w:rPr>
          <w:rFonts w:ascii="Arial" w:hAnsi="Arial"/>
          <w:color w:val="202020"/>
          <w:sz w:val="19"/>
        </w:rPr>
        <w:t>Organize a community monitoring group and complete four scheduled observation rounds at sites approved by the barangay and DENR.</w:t>
      </w:r>
    </w:p>
    <w:p>
      <w:pPr>
        <w:pStyle w:val="ListBullet"/>
        <w:spacing w:after="50" w:line="259" w:lineRule="auto"/>
        <w:ind w:left="360" w:hanging="187"/>
      </w:pPr>
      <w:r>
        <w:rPr>
          <w:rFonts w:ascii="Arial" w:hAnsi="Arial"/>
          <w:color w:val="202020"/>
          <w:sz w:val="19"/>
        </w:rPr>
        <w:t>Evaluate participant learning and project delivery, then validate a community forest health action and referral plan with the proposed partners.</w:t>
      </w:r>
    </w:p>
    <w:p>
      <w:pPr>
        <w:pStyle w:val="Heading2"/>
      </w:pPr>
      <w:r>
        <w:rPr>
          <w:rFonts w:ascii="Arial" w:hAnsi="Arial"/>
          <w:b w:val="0"/>
          <w:i w:val="0"/>
        </w:rPr>
        <w:t>C. Logical Framework</w:t>
      </w:r>
    </w:p>
    <w:tbl>
      <w:tblPr>
        <w:tblW w:type="auto" w:w="0"/>
        <w:jc w:val="center"/>
        <w:tblLayout w:type="fixed"/>
        <w:tblLook w:firstColumn="1" w:firstRow="1" w:lastColumn="0" w:lastRow="0" w:noHBand="0" w:noVBand="1" w:val="04A0"/>
      </w:tblPr>
      <w:tblGrid>
        <w:gridCol w:w="2412"/>
        <w:gridCol w:w="2412"/>
        <w:gridCol w:w="2412"/>
        <w:gridCol w:w="2412"/>
      </w:tblGrid>
      <w:tr>
        <w:trPr>
          <w:cantSplit/>
          <w:tblHeader w:val="true"/>
        </w:trPr>
        <w:tc>
          <w:tcPr>
            <w:tcW w:type="dxa" w:w="118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Particular</w:t>
            </w:r>
          </w:p>
        </w:tc>
        <w:tc>
          <w:tcPr>
            <w:tcW w:type="dxa" w:w="2951"/>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Indicators</w:t>
            </w:r>
          </w:p>
        </w:tc>
        <w:tc>
          <w:tcPr>
            <w:tcW w:type="dxa" w:w="280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Means of Verification</w:t>
            </w:r>
          </w:p>
        </w:tc>
        <w:tc>
          <w:tcPr>
            <w:tcW w:type="dxa" w:w="2707"/>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Assumptions</w:t>
            </w:r>
          </w:p>
        </w:tc>
      </w:tr>
      <w:tr>
        <w:trPr>
          <w:cantSplit/>
        </w:trPr>
        <w:tc>
          <w:tcPr>
            <w:tcW w:type="dxa" w:w="118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Goal</w:t>
            </w:r>
            <w:r>
              <w:rPr>
                <w:rFonts w:ascii="Arial" w:hAnsi="Arial"/>
                <w:color w:val="202020"/>
                <w:sz w:val="16"/>
              </w:rPr>
              <w:br/>
            </w:r>
            <w:r>
              <w:rPr>
                <w:rFonts w:ascii="Arial" w:hAnsi="Arial"/>
                <w:b/>
                <w:i w:val="0"/>
                <w:color w:val="202020"/>
                <w:sz w:val="16"/>
              </w:rPr>
              <w:t>Improved community capacity to support early observation and referral of forest health concerns in Barangay Poblacion.</w:t>
            </w:r>
          </w:p>
        </w:tc>
        <w:tc>
          <w:tcPr>
            <w:tcW w:type="dxa" w:w="2951"/>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One partner-reviewed community forest health action and referral plan completed by Month 12.</w:t>
            </w:r>
          </w:p>
        </w:tc>
        <w:tc>
          <w:tcPr>
            <w:tcW w:type="dxa" w:w="280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Approved minutes; final project report; action and referral plan.</w:t>
            </w:r>
          </w:p>
        </w:tc>
        <w:tc>
          <w:tcPr>
            <w:tcW w:type="dxa" w:w="2707"/>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Barangay and DENR remain available for coordination; access and safe field conditions are maintained.</w:t>
            </w:r>
          </w:p>
        </w:tc>
      </w:tr>
      <w:tr>
        <w:trPr>
          <w:cantSplit/>
        </w:trPr>
        <w:tc>
          <w:tcPr>
            <w:tcW w:type="dxa" w:w="118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Purpose</w:t>
            </w:r>
            <w:r>
              <w:rPr>
                <w:rFonts w:ascii="Arial" w:hAnsi="Arial"/>
                <w:color w:val="202020"/>
                <w:sz w:val="16"/>
              </w:rPr>
              <w:br/>
            </w:r>
            <w:r>
              <w:rPr>
                <w:rFonts w:ascii="Arial" w:hAnsi="Arial"/>
                <w:b/>
                <w:i w:val="0"/>
                <w:color w:val="202020"/>
                <w:sz w:val="16"/>
              </w:rPr>
              <w:t>Participants can recognize selected visible signs and record observations for technical follow-up.</w:t>
            </w:r>
          </w:p>
        </w:tc>
        <w:tc>
          <w:tcPr>
            <w:tcW w:type="dxa" w:w="2951"/>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About 50 participants reached; at least 80% of participants completing both assessments improve their post-test score; at least 10 volunteers complete supervised field practice.</w:t>
            </w:r>
          </w:p>
        </w:tc>
        <w:tc>
          <w:tcPr>
            <w:tcW w:type="dxa" w:w="280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Attendance sheets; pre/post assessment; field-practice checklist; observation forms.</w:t>
            </w:r>
          </w:p>
        </w:tc>
        <w:tc>
          <w:tcPr>
            <w:tcW w:type="dxa" w:w="2707"/>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Participants attend the sessions and the agreed field site is accessible.</w:t>
            </w:r>
          </w:p>
        </w:tc>
      </w:tr>
      <w:tr>
        <w:trPr>
          <w:cantSplit/>
        </w:trPr>
        <w:tc>
          <w:tcPr>
            <w:tcW w:type="dxa" w:w="118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Outputs</w:t>
            </w:r>
            <w:r>
              <w:rPr>
                <w:rFonts w:ascii="Arial" w:hAnsi="Arial"/>
                <w:color w:val="202020"/>
                <w:sz w:val="16"/>
              </w:rPr>
              <w:br/>
            </w:r>
            <w:r>
              <w:rPr>
                <w:rFonts w:ascii="Arial" w:hAnsi="Arial"/>
                <w:b/>
                <w:i w:val="0"/>
                <w:color w:val="202020"/>
                <w:sz w:val="16"/>
              </w:rPr>
              <w:t>CEPA sessions, learning materials, a simple observation form, and a community monitoring group are established.</w:t>
            </w:r>
          </w:p>
        </w:tc>
        <w:tc>
          <w:tcPr>
            <w:tcW w:type="dxa" w:w="2951"/>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At least 4 CEPA or follow-up sessions; 1 observation guide/form; 1 monitoring group with at least 10 volunteers.</w:t>
            </w:r>
          </w:p>
        </w:tc>
        <w:tc>
          <w:tcPr>
            <w:tcW w:type="dxa" w:w="280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Session programs; copies of IEC materials and field forms; group roster; photos.</w:t>
            </w:r>
          </w:p>
        </w:tc>
        <w:tc>
          <w:tcPr>
            <w:tcW w:type="dxa" w:w="2707"/>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Learning materials and technical reviewers are available.</w:t>
            </w:r>
          </w:p>
        </w:tc>
      </w:tr>
      <w:tr>
        <w:trPr>
          <w:cantSplit/>
        </w:trPr>
        <w:tc>
          <w:tcPr>
            <w:tcW w:type="dxa" w:w="118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Outcomes</w:t>
            </w:r>
            <w:r>
              <w:rPr>
                <w:rFonts w:ascii="Arial" w:hAnsi="Arial"/>
                <w:color w:val="202020"/>
                <w:sz w:val="16"/>
              </w:rPr>
              <w:br/>
            </w:r>
            <w:r>
              <w:rPr>
                <w:rFonts w:ascii="Arial" w:hAnsi="Arial"/>
                <w:b/>
                <w:i w:val="0"/>
                <w:color w:val="202020"/>
                <w:sz w:val="16"/>
              </w:rPr>
              <w:t>Improved ability to record and refer forest health observations.</w:t>
            </w:r>
          </w:p>
        </w:tc>
        <w:tc>
          <w:tcPr>
            <w:tcW w:type="dxa" w:w="2951"/>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Four scheduled visual observation rounds completed and referred concerns logged for review.</w:t>
            </w:r>
          </w:p>
        </w:tc>
        <w:tc>
          <w:tcPr>
            <w:tcW w:type="dxa" w:w="280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Dated field records; photo log; referral log; partner validation notes.</w:t>
            </w:r>
          </w:p>
        </w:tc>
        <w:tc>
          <w:tcPr>
            <w:tcW w:type="dxa" w:w="2707"/>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Observers use the agreed protocol and refer uncertain cases to technical partners.</w:t>
            </w:r>
          </w:p>
        </w:tc>
      </w:tr>
      <w:tr>
        <w:trPr>
          <w:cantSplit/>
        </w:trPr>
        <w:tc>
          <w:tcPr>
            <w:tcW w:type="dxa" w:w="118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Activities</w:t>
            </w:r>
            <w:r>
              <w:rPr>
                <w:rFonts w:ascii="Arial" w:hAnsi="Arial"/>
                <w:color w:val="202020"/>
                <w:sz w:val="16"/>
              </w:rPr>
              <w:br/>
            </w:r>
            <w:r>
              <w:rPr>
                <w:rFonts w:ascii="Arial" w:hAnsi="Arial"/>
                <w:b/>
                <w:i w:val="0"/>
                <w:color w:val="202020"/>
                <w:sz w:val="16"/>
              </w:rPr>
              <w:t>Consultation, CEPA instruction, supervised field practice, quarterly monitoring, and final review.</w:t>
            </w:r>
          </w:p>
        </w:tc>
        <w:tc>
          <w:tcPr>
            <w:tcW w:type="dxa" w:w="2951"/>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Activities completed according to the 12-month schedule.</w:t>
            </w:r>
          </w:p>
        </w:tc>
        <w:tc>
          <w:tcPr>
            <w:tcW w:type="dxa" w:w="280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Work plan; attendance; minutes; monitoring records; final review report.</w:t>
            </w:r>
          </w:p>
        </w:tc>
        <w:tc>
          <w:tcPr>
            <w:tcW w:type="dxa" w:w="2707"/>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Weather, transport, and institutional resources permit planned visits.</w:t>
            </w:r>
          </w:p>
        </w:tc>
      </w:tr>
    </w:tbl>
    <w:p>
      <w:pPr>
        <w:pStyle w:val="Heading2"/>
      </w:pPr>
      <w:r>
        <w:rPr>
          <w:rFonts w:ascii="Arial" w:hAnsi="Arial"/>
          <w:b w:val="0"/>
          <w:i w:val="0"/>
        </w:rPr>
        <w:t>D. Methodology</w:t>
      </w:r>
    </w:p>
    <w:p>
      <w:r>
        <w:rPr>
          <w:rFonts w:ascii="Arial" w:hAnsi="Arial"/>
          <w:b w:val="0"/>
          <w:i w:val="0"/>
          <w:color w:val="202020"/>
        </w:rPr>
        <w:t>Implementation will proceed through partner consultation, CEPA instruction, supervised non-destructive observation, quarterly follow-up, and a final partner review. Any suspected disease or pest that cannot be identified from the training guide will be documented and referred to DENR or another qualified technical partner. Participants will not collect samples or apply treatments as part of this extension activity.</w:t>
      </w:r>
    </w:p>
    <w:tbl>
      <w:tblPr>
        <w:tblW w:type="auto" w:w="0"/>
        <w:jc w:val="center"/>
        <w:tblLayout w:type="fixed"/>
        <w:tblLook w:firstColumn="1" w:firstRow="1" w:lastColumn="0" w:lastRow="0" w:noHBand="0" w:noVBand="1" w:val="04A0"/>
      </w:tblPr>
      <w:tblGrid>
        <w:gridCol w:w="1608"/>
        <w:gridCol w:w="1608"/>
        <w:gridCol w:w="1608"/>
        <w:gridCol w:w="1608"/>
        <w:gridCol w:w="1608"/>
        <w:gridCol w:w="1608"/>
      </w:tblGrid>
      <w:tr>
        <w:trPr>
          <w:cantSplit/>
          <w:tblHeader w:val="true"/>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5"/>
              </w:rPr>
            </w:r>
            <w:r>
              <w:rPr>
                <w:rFonts w:ascii="Arial" w:hAnsi="Arial"/>
                <w:b/>
                <w:i w:val="0"/>
                <w:color w:val="000000"/>
                <w:sz w:val="15"/>
              </w:rPr>
              <w:t>Activity</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5"/>
              </w:rPr>
            </w:r>
            <w:r>
              <w:rPr>
                <w:rFonts w:ascii="Arial" w:hAnsi="Arial"/>
                <w:b/>
                <w:i w:val="0"/>
                <w:color w:val="000000"/>
                <w:sz w:val="15"/>
              </w:rPr>
              <w:t>Description</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5"/>
              </w:rPr>
            </w:r>
            <w:r>
              <w:rPr>
                <w:rFonts w:ascii="Arial" w:hAnsi="Arial"/>
                <w:b/>
                <w:i w:val="0"/>
                <w:color w:val="000000"/>
                <w:sz w:val="15"/>
              </w:rPr>
              <w:t>Target Participants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5"/>
              </w:rPr>
            </w:r>
            <w:r>
              <w:rPr>
                <w:rFonts w:ascii="Arial" w:hAnsi="Arial"/>
                <w:b/>
                <w:i w:val="0"/>
                <w:color w:val="000000"/>
                <w:sz w:val="15"/>
              </w:rPr>
              <w:t>Timeframe</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5"/>
              </w:rPr>
            </w:r>
            <w:r>
              <w:rPr>
                <w:rFonts w:ascii="Arial" w:hAnsi="Arial"/>
                <w:b/>
                <w:i w:val="0"/>
                <w:color w:val="000000"/>
                <w:sz w:val="15"/>
              </w:rPr>
              <w:t>Responsible</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5"/>
              </w:rPr>
            </w:r>
            <w:r>
              <w:rPr>
                <w:rFonts w:ascii="Arial" w:hAnsi="Arial"/>
                <w:b/>
                <w:i w:val="0"/>
                <w:color w:val="000000"/>
                <w:sz w:val="15"/>
              </w:rPr>
              <w:t>Expected Output</w:t>
            </w:r>
          </w:p>
        </w:tc>
      </w:tr>
      <w:tr>
        <w:trPr>
          <w:cantSplit/>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Partner consultation and needs check</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Confirm local concerns, participants, observation site, access, safety steps, and DENR/barangay referral contacts. Use a short needs assessment.</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15-20 representatives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Months 1-2</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Project Leader and Assistant; barangay and DENR representatives</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Agreed activity plan, needs summary, and confirmed site/contact list.</w:t>
            </w:r>
          </w:p>
        </w:tc>
      </w:tr>
      <w:tr>
        <w:trPr>
          <w:cantSplit/>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Forest health CEPA sessions</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Two sessions covering forest health basics, visible pest and disease signs, gall rust symptoms in Falcata where present, understory conditions, invasive plants, and responsible reporting. Include a short pre/post assessment.</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Up to 50 community members and BS Forestry students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Months 3-4</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Project Team; DENR technical resource person if available</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Two sessions completed; learning materials and assessment results.</w:t>
            </w:r>
          </w:p>
        </w:tc>
      </w:tr>
      <w:tr>
        <w:trPr>
          <w:cantSplit/>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Supervised field practice</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Use an approved site for a non-destructive observation walk. For Falcata, use the source paper’s adapted 0-4 crown symptom scale; for other trees, record visible signs without assigning a disease diagnosis. Add understory height, photo, date, and location note where available.</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Up to 25 trainees; select 10 volunteer monitors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Month 4</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Assistant Project Leader and Project Member; DENR/barangay technical support</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Participants complete the observation form and field-practice checklist.</w:t>
            </w:r>
          </w:p>
        </w:tc>
      </w:tr>
      <w:tr>
        <w:trPr>
          <w:cantSplit/>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Community observation and referral</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The volunteer group completes four scheduled visual monitoring rounds, logs observations, and refers uncertain or notable symptoms through the agreed channel. No treatment is prescribed.</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At least 10 volunteer monitors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Months 5, 7, 9, and 11</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Community monitors with project team; DENR and barangay contacts</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Four dated observation records and a referral log.</w:t>
            </w:r>
          </w:p>
        </w:tc>
      </w:tr>
      <w:tr>
        <w:trPr>
          <w:cantSplit/>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IEC and community action planning</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Share a concise forest health guide and discuss practical reporting roles, contact points, and follow-up responsibilities with community representatives.</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Community participants and local partners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Months 5-11</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Project Team; barangay and DENR representatives</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IEC materials shared and a draft action/referral plan prepared.</w:t>
            </w:r>
          </w:p>
        </w:tc>
      </w:tr>
      <w:tr>
        <w:trPr>
          <w:cantSplit/>
        </w:trPr>
        <w:tc>
          <w:tcPr>
            <w:tcW w:type="dxa" w:w="1238"/>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Evaluation and validation</w:t>
            </w:r>
          </w:p>
        </w:tc>
        <w:tc>
          <w:tcPr>
            <w:tcW w:type="dxa" w:w="237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Review attendance, pre/post results, monitoring records, participant feedback, and partner comments; finalize the action/referral plan and report.</w:t>
            </w:r>
          </w:p>
        </w:tc>
        <w:tc>
          <w:tcPr>
            <w:tcW w:type="dxa" w:w="144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Project Team, monitors, DENR and barangay representatives</w:t>
            </w:r>
          </w:p>
        </w:tc>
        <w:tc>
          <w:tcPr>
            <w:tcW w:type="dxa" w:w="1036"/>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Month 12</w:t>
            </w:r>
          </w:p>
        </w:tc>
        <w:tc>
          <w:tcPr>
            <w:tcW w:type="dxa" w:w="1655"/>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Project Leader and Assistant Project Leader</w:t>
            </w:r>
          </w:p>
        </w:tc>
        <w:tc>
          <w:tcPr>
            <w:tcW w:type="dxa" w:w="19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5"/>
              </w:rPr>
            </w:r>
            <w:r>
              <w:rPr>
                <w:rFonts w:ascii="Arial" w:hAnsi="Arial"/>
                <w:b w:val="0"/>
                <w:i w:val="0"/>
                <w:color w:val="202020"/>
                <w:sz w:val="15"/>
              </w:rPr>
              <w:t>Validated action/referral plan and final accomplishment report.</w:t>
            </w:r>
          </w:p>
        </w:tc>
      </w:tr>
    </w:tbl>
    <w:p>
      <w:pPr>
        <w:pStyle w:val="Heading2"/>
      </w:pPr>
      <w:r>
        <w:rPr>
          <w:rFonts w:ascii="Arial" w:hAnsi="Arial"/>
          <w:b w:val="0"/>
          <w:i w:val="0"/>
        </w:rPr>
        <w:t>E. Line-Item Budget</w:t>
      </w:r>
    </w:p>
    <w:p>
      <w:r>
        <w:rPr>
          <w:rFonts w:ascii="Arial" w:hAnsi="Arial"/>
          <w:b w:val="0"/>
          <w:i w:val="0"/>
          <w:color w:val="202020"/>
          <w:sz w:val="18"/>
        </w:rPr>
        <w:t>The amounts below are planning estimates for institutional review. They cover four community-facing activities and six local coordination or field trips. Any use of partner venues, equipment, or technical time will be confirmed during coordination and is not counted as a cash contribution.</w:t>
      </w:r>
    </w:p>
    <w:tbl>
      <w:tblPr>
        <w:tblW w:type="auto" w:w="0"/>
        <w:jc w:val="center"/>
        <w:tblLayout w:type="fixed"/>
        <w:tblLook w:firstColumn="1" w:firstRow="1" w:lastColumn="0" w:lastRow="0" w:noHBand="0" w:noVBand="1" w:val="04A0"/>
      </w:tblPr>
      <w:tblGrid>
        <w:gridCol w:w="2412"/>
        <w:gridCol w:w="2412"/>
        <w:gridCol w:w="2412"/>
        <w:gridCol w:w="2412"/>
      </w:tblGrid>
      <w:tr>
        <w:trPr>
          <w:cantSplit/>
          <w:tblHeader w:val="true"/>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Budget Item</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Particular Item</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Estimated Cost</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jc w:val="right"/>
            </w:pPr>
            <w:r>
              <w:rPr>
                <w:rFonts w:ascii="Arial" w:hAnsi="Arial"/>
                <w:b/>
                <w:color w:val="000000"/>
                <w:sz w:val="16"/>
              </w:rPr>
            </w:r>
            <w:r>
              <w:rPr>
                <w:rFonts w:ascii="Arial" w:hAnsi="Arial"/>
                <w:b/>
                <w:i w:val="0"/>
                <w:color w:val="000000"/>
                <w:sz w:val="16"/>
              </w:rPr>
              <w:t>Total (PHP)</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t>1. Operating Cost</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jc w:val="right"/>
            </w:pPr>
            <w:r>
              <w:rPr>
                <w:rFonts w:ascii="Arial" w:hAnsi="Arial"/>
                <w:b/>
                <w:color w:val="202020"/>
                <w:sz w:val="16"/>
              </w:rPr>
            </w:r>
            <w:r>
              <w:rPr>
                <w:rFonts w:ascii="Arial" w:hAnsi="Arial"/>
                <w:b/>
                <w:i w:val="0"/>
                <w:color w:val="202020"/>
                <w:sz w:val="16"/>
              </w:rPr>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1.1 Supplies</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Observation kits: 10 kits x PHP 600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10 x 600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6,000.00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Participant stationery: 50 kits x PHP 80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50 x 80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4,000.00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Field safety and first-aid replenishment: 10 packs x PHP 350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10 x 350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3,500.00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IEC handouts and posters: 100 copies x PHP 25</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100 x 25</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2,500.00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1.2 Communication</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Coordination calls/data: 12 months x PHP 250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12 x 250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3,000.00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1.3 Documentation</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Session documentation and reproduction: 4 activities x PHP 750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4 x 750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3,000.00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1.4 Others</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Event tarpaulins: 2 pieces x PHP 1,200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2 x 1,200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2,400.00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t>Subtotal Operating Cost</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jc w:val="right"/>
            </w:pPr>
            <w:r>
              <w:rPr>
                <w:rFonts w:ascii="Arial" w:hAnsi="Arial"/>
                <w:b/>
                <w:color w:val="202020"/>
                <w:sz w:val="16"/>
              </w:rPr>
            </w:r>
            <w:r>
              <w:rPr>
                <w:rFonts w:ascii="Arial" w:hAnsi="Arial"/>
                <w:b/>
                <w:i w:val="0"/>
                <w:color w:val="202020"/>
                <w:sz w:val="16"/>
              </w:rPr>
              <w:t>24,400.00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t>2. Travel Costs and Food Expenses</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jc w:val="right"/>
            </w:pPr>
            <w:r>
              <w:rPr>
                <w:rFonts w:ascii="Arial" w:hAnsi="Arial"/>
                <w:b/>
                <w:color w:val="202020"/>
                <w:sz w:val="16"/>
              </w:rPr>
            </w:r>
            <w:r>
              <w:rPr>
                <w:rFonts w:ascii="Arial" w:hAnsi="Arial"/>
                <w:b/>
                <w:i w:val="0"/>
                <w:color w:val="202020"/>
                <w:sz w:val="16"/>
              </w:rPr>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2.1 Fare</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Local coordination and field visits: 6 trips x PHP 1,500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6 x 1,500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9,000.00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2.2 Food Expense</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Consultation: 20 x PHP 180; 2 CEPA sessions: 50 x PHP 180 each; validation: 30 x PHP 180</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val="0"/>
                <w:i w:val="0"/>
                <w:color w:val="202020"/>
                <w:sz w:val="16"/>
              </w:rPr>
              <w:t>20 x 180 + 2(50 x 180) + 30 x 180</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val="0"/>
                <w:i w:val="0"/>
                <w:color w:val="202020"/>
                <w:sz w:val="16"/>
              </w:rPr>
              <w:t>27,000.00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t>Subtotal Travel and Food</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pPr>
            <w:r>
              <w:rPr>
                <w:rFonts w:ascii="Arial" w:hAnsi="Arial"/>
                <w:b/>
                <w:color w:val="202020"/>
                <w:sz w:val="16"/>
              </w:rPr>
            </w:r>
            <w:r>
              <w:rPr>
                <w:rFonts w:ascii="Arial" w:hAnsi="Arial"/>
                <w:b/>
                <w:i w:val="0"/>
                <w:color w:val="202020"/>
                <w:sz w:val="16"/>
              </w:rPr>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spacing w:before="0" w:after="36" w:line="252" w:lineRule="auto"/>
              <w:jc w:val="right"/>
            </w:pPr>
            <w:r>
              <w:rPr>
                <w:rFonts w:ascii="Arial" w:hAnsi="Arial"/>
                <w:b/>
                <w:color w:val="202020"/>
                <w:sz w:val="16"/>
              </w:rPr>
            </w:r>
            <w:r>
              <w:rPr>
                <w:rFonts w:ascii="Arial" w:hAnsi="Arial"/>
                <w:b/>
                <w:i w:val="0"/>
                <w:color w:val="202020"/>
                <w:sz w:val="16"/>
              </w:rPr>
              <w:t>36,000.00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3. Miscellaneous</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Laminated quick-reference cards and minor field consumables</w:t>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pPr>
            <w:r>
              <w:rPr>
                <w:rFonts w:ascii="Arial" w:hAnsi="Arial"/>
                <w:color w:val="202020"/>
                <w:sz w:val="16"/>
              </w:rPr>
            </w:r>
            <w:r>
              <w:rPr>
                <w:rFonts w:ascii="Arial" w:hAnsi="Arial"/>
                <w:b/>
                <w:i w:val="0"/>
                <w:color w:val="202020"/>
                <w:sz w:val="16"/>
              </w:rPr>
              <w:t>Estimated lump sum</w:t>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36" w:line="252" w:lineRule="auto"/>
              <w:jc w:val="right"/>
            </w:pPr>
            <w:r>
              <w:rPr>
                <w:rFonts w:ascii="Arial" w:hAnsi="Arial"/>
                <w:color w:val="202020"/>
                <w:sz w:val="16"/>
              </w:rPr>
            </w:r>
            <w:r>
              <w:rPr>
                <w:rFonts w:ascii="Arial" w:hAnsi="Arial"/>
                <w:b/>
                <w:i w:val="0"/>
                <w:color w:val="202020"/>
                <w:sz w:val="16"/>
              </w:rPr>
              <w:t>3,020.00</w:t>
            </w:r>
          </w:p>
        </w:tc>
      </w:tr>
      <w:tr>
        <w:trPr>
          <w:cantSplit/>
        </w:trPr>
        <w:tc>
          <w:tcPr>
            <w:tcW w:type="dxa" w:w="2044"/>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t>Total Budget</w:t>
            </w:r>
          </w:p>
        </w:tc>
        <w:tc>
          <w:tcPr>
            <w:tcW w:type="dxa" w:w="370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r>
          </w:p>
        </w:tc>
        <w:tc>
          <w:tcPr>
            <w:tcW w:type="dxa" w:w="2232"/>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pPr>
            <w:r>
              <w:rPr>
                <w:rFonts w:ascii="Arial" w:hAnsi="Arial"/>
                <w:b/>
                <w:color w:val="000000"/>
                <w:sz w:val="16"/>
              </w:rPr>
            </w:r>
            <w:r>
              <w:rPr>
                <w:rFonts w:ascii="Arial" w:hAnsi="Arial"/>
                <w:b/>
                <w:i w:val="0"/>
                <w:color w:val="000000"/>
                <w:sz w:val="16"/>
              </w:rPr>
            </w:r>
          </w:p>
        </w:tc>
        <w:tc>
          <w:tcPr>
            <w:tcW w:type="dxa" w:w="1670"/>
            <w:tcMar>
              <w:top w:w="85" w:type="dxa"/>
              <w:start w:w="100" w:type="dxa"/>
              <w:bottom w:w="85" w:type="dxa"/>
              <w:end w:w="10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D9E2F3"/>
          </w:tcPr>
          <w:p>
            <w:pPr>
              <w:spacing w:before="0" w:after="36" w:line="252" w:lineRule="auto"/>
              <w:jc w:val="right"/>
            </w:pPr>
            <w:r>
              <w:rPr>
                <w:rFonts w:ascii="Arial" w:hAnsi="Arial"/>
                <w:b/>
                <w:color w:val="000000"/>
                <w:sz w:val="16"/>
              </w:rPr>
            </w:r>
            <w:r>
              <w:rPr>
                <w:rFonts w:ascii="Arial" w:hAnsi="Arial"/>
                <w:b/>
                <w:i w:val="0"/>
                <w:color w:val="000000"/>
                <w:sz w:val="16"/>
              </w:rPr>
              <w:t>63,420.00</w:t>
            </w:r>
          </w:p>
        </w:tc>
      </w:tr>
    </w:tbl>
    <w:p>
      <w:pPr>
        <w:pStyle w:val="Heading1"/>
      </w:pPr>
      <w:r>
        <w:rPr>
          <w:rFonts w:ascii="Arial" w:hAnsi="Arial"/>
          <w:b w:val="0"/>
          <w:i w:val="0"/>
        </w:rPr>
        <w:t>PART III  DOCUMENTARY ATTACHMENTS</w:t>
      </w:r>
    </w:p>
    <w:p>
      <w:r>
        <w:rPr>
          <w:rFonts w:ascii="Arial" w:hAnsi="Arial"/>
          <w:b w:val="0"/>
          <w:i w:val="0"/>
          <w:color w:val="202020"/>
        </w:rPr>
        <w:t>The following items form the proposal support package. Items identified for preparation will be completed or secured with the partners before the relevant activities begin.</w:t>
      </w:r>
    </w:p>
    <w:p>
      <w:pPr>
        <w:spacing w:after="100"/>
        <w:ind w:left="360" w:hanging="317"/>
      </w:pPr>
      <w:r>
        <w:rPr>
          <w:rFonts w:ascii="Arial" w:hAnsi="Arial"/>
          <w:b/>
          <w:sz w:val="19"/>
        </w:rPr>
        <w:t xml:space="preserve">A. </w:t>
      </w:r>
      <w:r>
        <w:rPr>
          <w:rFonts w:ascii="Arial" w:hAnsi="Arial"/>
          <w:color w:val="202020"/>
          <w:sz w:val="19"/>
        </w:rPr>
        <w:t>Copy of the action research output used as the basis for the extension program: Ramoncito et al. (2025), Philippine Journal of Science 154(6A), 1411-1424.</w:t>
      </w:r>
    </w:p>
    <w:p>
      <w:pPr>
        <w:spacing w:after="100"/>
        <w:ind w:left="360" w:hanging="317"/>
      </w:pPr>
      <w:r>
        <w:rPr>
          <w:rFonts w:ascii="Arial" w:hAnsi="Arial"/>
          <w:b/>
          <w:sz w:val="19"/>
        </w:rPr>
        <w:t xml:space="preserve">B. </w:t>
      </w:r>
      <w:r>
        <w:rPr>
          <w:rFonts w:ascii="Arial" w:hAnsi="Arial"/>
          <w:color w:val="202020"/>
          <w:sz w:val="19"/>
        </w:rPr>
        <w:t>Rapid community needs assessment and assessment questionnaire, to be finalized during partner consultation.</w:t>
      </w:r>
    </w:p>
    <w:p>
      <w:pPr>
        <w:spacing w:after="100"/>
        <w:ind w:left="360" w:hanging="317"/>
      </w:pPr>
      <w:r>
        <w:rPr>
          <w:rFonts w:ascii="Arial" w:hAnsi="Arial"/>
          <w:b/>
          <w:sz w:val="19"/>
        </w:rPr>
        <w:t xml:space="preserve">C. </w:t>
      </w:r>
      <w:r>
        <w:rPr>
          <w:rFonts w:ascii="Arial" w:hAnsi="Arial"/>
          <w:color w:val="202020"/>
          <w:sz w:val="19"/>
        </w:rPr>
        <w:t>Participant information and consent forms, to be prepared before any participant assessment or documentation.</w:t>
      </w:r>
    </w:p>
    <w:p>
      <w:pPr>
        <w:spacing w:after="100"/>
        <w:ind w:left="360" w:hanging="317"/>
      </w:pPr>
      <w:r>
        <w:rPr>
          <w:rFonts w:ascii="Arial" w:hAnsi="Arial"/>
          <w:b/>
          <w:sz w:val="19"/>
        </w:rPr>
        <w:t xml:space="preserve">D. </w:t>
      </w:r>
      <w:r>
        <w:rPr>
          <w:rFonts w:ascii="Arial" w:hAnsi="Arial"/>
          <w:color w:val="202020"/>
          <w:sz w:val="19"/>
        </w:rPr>
        <w:t>Location map of the Barangay Poblacion training and observation site, to be appended after site confirmation.</w:t>
      </w:r>
    </w:p>
    <w:p>
      <w:pPr>
        <w:spacing w:after="100"/>
        <w:ind w:left="360" w:hanging="317"/>
      </w:pPr>
      <w:r>
        <w:rPr>
          <w:rFonts w:ascii="Arial" w:hAnsi="Arial"/>
          <w:b/>
          <w:sz w:val="19"/>
        </w:rPr>
        <w:t xml:space="preserve">E. </w:t>
      </w:r>
      <w:r>
        <w:rPr>
          <w:rFonts w:ascii="Arial" w:hAnsi="Arial"/>
          <w:color w:val="202020"/>
          <w:sz w:val="19"/>
        </w:rPr>
        <w:t>Memorandum of Understanding or Agreement with DENR and/or the Barangay Local Government Unit, if required and upon partner concurrence.</w:t>
      </w:r>
    </w:p>
    <w:p>
      <w:pPr>
        <w:spacing w:after="100"/>
        <w:ind w:left="360" w:hanging="317"/>
      </w:pPr>
      <w:r>
        <w:rPr>
          <w:rFonts w:ascii="Arial" w:hAnsi="Arial"/>
          <w:b/>
          <w:sz w:val="19"/>
        </w:rPr>
        <w:t xml:space="preserve">F. </w:t>
      </w:r>
      <w:r>
        <w:rPr>
          <w:rFonts w:ascii="Arial" w:hAnsi="Arial"/>
          <w:color w:val="202020"/>
          <w:sz w:val="19"/>
        </w:rPr>
        <w:t>Other relevant materials: draft CEPA lesson outline, forest health observation form, field safety guide, attendance sheet, and evaluation forms.</w:t>
      </w:r>
    </w:p>
    <w:sectPr w:rsidR="00FC693F" w:rsidRPr="0006063C" w:rsidSect="00034616">
      <w:footerReference w:type="default" r:id="rId9"/>
      <w:pgSz w:w="12240" w:h="15840"/>
      <w:pgMar w:top="1037" w:right="1296" w:bottom="979" w:left="129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jc w:val="center"/>
    </w:pPr>
    <w:r>
      <w:rPr>
        <w:rFonts w:ascii="Arial" w:hAnsi="Arial"/>
        <w:color w:val="666666"/>
        <w:sz w:val="16"/>
      </w:rPr>
      <w:t xml:space="preserve">J.H. Cerilles State College  |  Extension Project Proposal  |  Page </w:t>
    </w:r>
    <w:r>
      <w:rPr>
        <w:rFonts w:ascii="Arial" w:hAnsi="Arial"/>
        <w:color w:val="666666"/>
        <w:sz w:val="16"/>
      </w:rPr>
      <w:fldChar w:fldCharType="begin"/>
      <w:instrText xml:space="preserve">PAGE</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020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posalSubtitle">
    <w:name w:val="Proposal Subtitle"/>
    <w:pPr>
      <w:spacing w:after="60"/>
      <w:jc w:val="center"/>
    </w:pPr>
    <w:rPr>
      <w:rFonts w:ascii="Arial" w:hAnsi="Arial"/>
      <w:b/>
      <w:color w:val="1F4E78"/>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CEPA Initiatives for Forest Preservation Year 2 Forest Health Monitoring and Community Action</dc:title>
  <dc:subject>JHCSC extension project proposal for Barangay Poblacion, Tigbao</dc:subject>
  <dc:creator>Nomar A. Ramoncito</dc:creator>
  <cp:keywords>CEPA, forest health, gall rust, Barangay Poblacion, Tigbao</cp:keywords>
  <dc:description>generated by python-docx</dc:description>
  <cp:lastModifiedBy/>
  <cp:revision>1</cp:revision>
  <dcterms:created xsi:type="dcterms:W3CDTF">2013-12-23T23:15:00Z</dcterms:created>
  <dcterms:modified xsi:type="dcterms:W3CDTF">2013-12-23T23:15:00Z</dcterms:modified>
  <cp:category/>
</cp:coreProperties>
</file>